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Gujarat Quantum Mission Stakeholder Engagement Kit</w:t>
      </w:r>
    </w:p>
    <w:p>
      <w:r>
        <w:t>Letters, meeting agendas, questionnaires, evidence requests and inspection forms</w:t>
      </w:r>
    </w:p>
    <w:p>
      <w:r>
        <w:t>Prepared for authorised use after appointment of the Gujarat mission owner</w:t>
      </w:r>
    </w:p>
    <w:p>
      <w:r>
        <w:rPr>
          <w:b/>
        </w:rPr>
        <w:t>Use and approval</w:t>
      </w:r>
      <w:r/>
    </w:p>
    <w:p>
      <w:r>
        <w:t>This kit provides editable drafts. The authorised state office must insert the issuing authority, recipient, reference number, dates, confidentiality classification and signatory before sending. No communication has been sent through this package.</w:t>
      </w:r>
    </w:p>
    <w:p>
      <w:r>
        <w:br w:type="page"/>
      </w:r>
    </w:p>
    <w:p>
      <w:pPr>
        <w:pStyle w:val="Heading1"/>
      </w:pPr>
      <w:r>
        <w:t>Contents</w:t>
      </w:r>
    </w:p>
    <w:p>
      <w:pPr>
        <w:spacing w:after="60"/>
        <w:ind w:left="288" w:hanging="288"/>
      </w:pPr>
      <w:r>
        <w:t>1. Official institutional data request</w:t>
      </w:r>
    </w:p>
    <w:p>
      <w:pPr>
        <w:spacing w:after="60"/>
        <w:ind w:left="288" w:hanging="288"/>
      </w:pPr>
      <w:r>
        <w:t>2. Industry problem statement invitation</w:t>
      </w:r>
    </w:p>
    <w:p>
      <w:pPr>
        <w:spacing w:after="60"/>
        <w:ind w:left="288" w:hanging="288"/>
      </w:pPr>
      <w:r>
        <w:t>3. DST National Quantum Mission meeting request</w:t>
      </w:r>
    </w:p>
    <w:p>
      <w:pPr>
        <w:spacing w:after="60"/>
        <w:ind w:left="288" w:hanging="288"/>
      </w:pPr>
      <w:r>
        <w:t>4. Common hub meeting agenda</w:t>
      </w:r>
    </w:p>
    <w:p>
      <w:pPr>
        <w:spacing w:after="60"/>
        <w:ind w:left="288" w:hanging="288"/>
      </w:pPr>
      <w:r>
        <w:t>5. Institution capability interview</w:t>
      </w:r>
    </w:p>
    <w:p>
      <w:pPr>
        <w:spacing w:after="60"/>
        <w:ind w:left="288" w:hanging="288"/>
      </w:pPr>
      <w:r>
        <w:t>6. Facility inspection form</w:t>
      </w:r>
    </w:p>
    <w:p>
      <w:pPr>
        <w:spacing w:after="60"/>
        <w:ind w:left="288" w:hanging="288"/>
      </w:pPr>
      <w:r>
        <w:t>7. Industry problem statement form</w:t>
      </w:r>
    </w:p>
    <w:p>
      <w:pPr>
        <w:spacing w:after="60"/>
        <w:ind w:left="288" w:hanging="288"/>
      </w:pPr>
      <w:r>
        <w:t>8. Pilot concept form</w:t>
      </w:r>
    </w:p>
    <w:p>
      <w:pPr>
        <w:spacing w:after="60"/>
        <w:ind w:left="288" w:hanging="288"/>
      </w:pPr>
      <w:r>
        <w:t>9. Access term sheet</w:t>
      </w:r>
    </w:p>
    <w:p>
      <w:pPr>
        <w:spacing w:after="60"/>
        <w:ind w:left="288" w:hanging="288"/>
      </w:pPr>
      <w:r>
        <w:t>10. Meeting record and evidence log</w:t>
      </w:r>
    </w:p>
    <w:p>
      <w:pPr>
        <w:spacing w:after="60"/>
        <w:ind w:left="288" w:hanging="288"/>
      </w:pPr>
      <w:r>
        <w:t>11. Ninety day engagement calendar</w:t>
      </w:r>
    </w:p>
    <w:p>
      <w:pPr>
        <w:pStyle w:val="Heading1"/>
      </w:pPr>
      <w:r>
        <w:t>1 Official institutional data request</w:t>
      </w:r>
    </w:p>
    <w:p>
      <w:r>
        <w:t>Subject  Gujarat quantum capability and facility verification</w:t>
      </w:r>
    </w:p>
    <w:p>
      <w:r>
        <w:t>To  Head of institution or authorised nominee</w:t>
      </w:r>
    </w:p>
    <w:p>
      <w:r>
        <w:t>The Government of Gujarat is conducting a structured verification of quantum technology capabilities, facilities, funded projects, talent and external access arrangements in the state. The exercise will support evidence-based planning and coordination with the National Quantum Mission.</w:t>
      </w:r>
    </w:p>
    <w:p>
      <w:r>
        <w:t>Please nominate one institutional coordinator and provide the records listed below by [date]. The exercise distinguishes teaching, research, prototype, operational and independently validated capability. Submission does not imply funding, selection or procurement.</w:t>
      </w:r>
    </w:p>
    <w:p>
      <w:pPr>
        <w:pStyle w:val="ListBullet"/>
        <w:spacing w:after="40"/>
      </w:pPr>
      <w:r>
        <w:t>Named investigators, staff and students with relevant roles.</w:t>
      </w:r>
    </w:p>
    <w:p>
      <w:pPr>
        <w:pStyle w:val="ListBullet"/>
        <w:spacing w:after="40"/>
      </w:pPr>
      <w:r>
        <w:t>Project title, sponsor, sanction, period, funds sanctioned, released and spent, deliverables and current status.</w:t>
      </w:r>
    </w:p>
    <w:p>
      <w:pPr>
        <w:pStyle w:val="ListBullet"/>
        <w:spacing w:after="40"/>
      </w:pPr>
      <w:r>
        <w:t>Equipment register with make, model, serial, ownership, site, commissioning, calibration, uptime, custodian and maintenance.</w:t>
      </w:r>
    </w:p>
    <w:p>
      <w:pPr>
        <w:pStyle w:val="ListBullet"/>
        <w:spacing w:after="40"/>
      </w:pPr>
      <w:r>
        <w:t>Publications, software, patents, prototypes, independent tests, deployments and customers, classified separately.</w:t>
      </w:r>
    </w:p>
    <w:p>
      <w:pPr>
        <w:pStyle w:val="ListBullet"/>
        <w:spacing w:after="40"/>
      </w:pPr>
      <w:r>
        <w:t>Formal relationship with an NQM hub or technical group, including work package, funding and obligations.</w:t>
      </w:r>
    </w:p>
    <w:p>
      <w:pPr>
        <w:pStyle w:val="ListBullet"/>
        <w:spacing w:after="40"/>
      </w:pPr>
      <w:r>
        <w:t>External access rules, tariff, queue, security, IP, confidentiality, sample and data conditions.</w:t>
      </w:r>
    </w:p>
    <w:p>
      <w:pPr>
        <w:pStyle w:val="ListBullet"/>
        <w:spacing w:after="40"/>
      </w:pPr>
      <w:r>
        <w:t>Industry or government problem statements with baseline, data or test site, acceptance test and procurement path.</w:t>
      </w:r>
    </w:p>
    <w:p>
      <w:pPr>
        <w:pStyle w:val="ListBullet"/>
        <w:spacing w:after="40"/>
      </w:pPr>
      <w:r>
        <w:t>Five-year staffing, maintenance and infrastructure requirements.</w:t>
      </w:r>
    </w:p>
    <w:p>
      <w:r>
        <w:t>Please attach source documents or provide secure data-room references. Mark any restricted material and identify the authority required for access.</w:t>
      </w:r>
    </w:p>
    <w:p>
      <w:r>
        <w:t>Authorised signatory  ____________________    Date  __________</w:t>
      </w:r>
    </w:p>
    <w:p>
      <w:r>
        <w:br w:type="page"/>
      </w:r>
    </w:p>
    <w:p>
      <w:pPr>
        <w:pStyle w:val="Heading1"/>
      </w:pPr>
      <w:r>
        <w:t>2 Industry problem statement invitation</w:t>
      </w:r>
    </w:p>
    <w:p>
      <w:r>
        <w:t>Subject  Invitation to submit operational problems for the Gujarat quantum technology programme</w:t>
      </w:r>
    </w:p>
    <w:p>
      <w:r>
        <w:t>The programme seeks operational problems where quantum, post quantum cryptography or quantum-inspired methods can be tested against strong existing approaches. The state will not assume that a quantum solution is superior.</w:t>
      </w:r>
    </w:p>
    <w:p>
      <w:r>
        <w:t>Please submit one form per problem. The submission must name the accountable user, current system, measurable baseline, available data or test site, security constraints, acceptance criteria, likely procurement route and explicit stop condition. Problems without these elements will remain discovery topics rather than pilots.</w:t>
      </w:r>
    </w:p>
    <w:p>
      <w:pPr>
        <w:pStyle w:val="ListBullet"/>
        <w:spacing w:after="40"/>
      </w:pPr>
      <w:r>
        <w:t>Suitable areas include cryptographic migration, timing and sensing, transport and logistics optimisation, component and materials development, and scientific computing.</w:t>
      </w:r>
    </w:p>
    <w:p>
      <w:pPr>
        <w:pStyle w:val="ListBullet"/>
        <w:spacing w:after="40"/>
      </w:pPr>
      <w:r>
        <w:t>The user agency must provide domain staff for design and acceptance.</w:t>
      </w:r>
    </w:p>
    <w:p>
      <w:pPr>
        <w:pStyle w:val="ListBullet"/>
        <w:spacing w:after="40"/>
      </w:pPr>
      <w:r>
        <w:t>Independent benchmarking may produce a negative result. The programme will preserve that result.</w:t>
      </w:r>
    </w:p>
    <w:p>
      <w:pPr>
        <w:pStyle w:val="ListBullet"/>
        <w:spacing w:after="40"/>
      </w:pPr>
      <w:r>
        <w:t>Submission does not create a procurement commitment or vendor preference.</w:t>
      </w:r>
    </w:p>
    <w:p>
      <w:r>
        <w:t>Programme contact  ____________________    Submission date  __________</w:t>
      </w:r>
    </w:p>
    <w:p>
      <w:r>
        <w:br w:type="page"/>
      </w:r>
    </w:p>
    <w:p>
      <w:pPr>
        <w:pStyle w:val="Heading1"/>
      </w:pPr>
      <w:r>
        <w:t>3 DST National Quantum Mission meeting request</w:t>
      </w:r>
    </w:p>
    <w:p>
      <w:r>
        <w:t>Subject  Gujarat coordination meeting with the National Quantum Mission</w:t>
      </w:r>
    </w:p>
    <w:p>
      <w:r>
        <w:t>Gujarat proposes a structured discussion with the Mission Director and Quantum Technology Cell to align state capability, user demand and co-funding with the four thematic hubs. The state seeks confirmation of lawful engagement routes for government agencies, universities, public sector users and companies after hub formation.</w:t>
      </w:r>
    </w:p>
    <w:p>
      <w:r>
        <w:t>Requested discussion</w:t>
      </w:r>
    </w:p>
    <w:p>
      <w:pPr>
        <w:spacing w:after="60"/>
        <w:ind w:left="288" w:hanging="288"/>
      </w:pPr>
      <w:r>
        <w:t>1. Current and forthcoming calls for projects, startups, teaching laboratories, talent and industry users.</w:t>
      </w:r>
    </w:p>
    <w:p>
      <w:pPr>
        <w:spacing w:after="60"/>
        <w:ind w:left="288" w:hanging="288"/>
      </w:pPr>
      <w:r>
        <w:t>2. Procedure for a state coordination office to present a four-hub capability and demand portfolio.</w:t>
      </w:r>
    </w:p>
    <w:p>
      <w:pPr>
        <w:spacing w:after="60"/>
        <w:ind w:left="288" w:hanging="288"/>
      </w:pPr>
      <w:r>
        <w:t>3. Whether new spokes or member institutions can be admitted and under which authority.</w:t>
      </w:r>
    </w:p>
    <w:p>
      <w:pPr>
        <w:spacing w:after="60"/>
        <w:ind w:left="288" w:hanging="288"/>
      </w:pPr>
      <w:r>
        <w:t>4. Operational facilities, access policies, tariffs, commissioning status and user support.</w:t>
      </w:r>
    </w:p>
    <w:p>
      <w:pPr>
        <w:spacing w:after="60"/>
        <w:ind w:left="288" w:hanging="288"/>
      </w:pPr>
      <w:r>
        <w:t>5. Common IP, licensing, publication, security, conflict-of-interest and independent-validation rules.</w:t>
      </w:r>
    </w:p>
    <w:p>
      <w:pPr>
        <w:spacing w:after="60"/>
        <w:ind w:left="288" w:hanging="288"/>
      </w:pPr>
      <w:r>
        <w:t>6. Required documents for a Gujarat capability note, problem statements, co-funding proposal or memorandum of understanding.</w:t>
      </w:r>
    </w:p>
    <w:p>
      <w:r>
        <w:t>Requested participants  Mission Director, relevant hub representatives, Gujarat mission owner, nominated technical leads and user-agency representatives.</w:t>
      </w:r>
    </w:p>
    <w:p>
      <w:r>
        <w:br w:type="page"/>
      </w:r>
    </w:p>
    <w:p>
      <w:pPr>
        <w:pStyle w:val="Heading1"/>
      </w:pPr>
      <w:r>
        <w:t>4 Common hub meeting agenda</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31"/>
        <w:gridCol w:w="3331"/>
        <w:gridCol w:w="3331"/>
      </w:tblGrid>
      <w:tr>
        <w:trPr>
          <w:tblHeader w:val="true"/>
          <w:cantSplit/>
        </w:trPr>
        <w:tc>
          <w:tcPr>
            <w:tcW w:type="dxa" w:w="1872"/>
            <w:shd w:fill="203864"/>
            <w:tcMar>
              <w:top w:w="100" w:type="dxa"/>
              <w:start w:w="100" w:type="dxa"/>
              <w:bottom w:w="100" w:type="dxa"/>
              <w:end w:w="100" w:type="dxa"/>
            </w:tcMar>
            <w:vAlign w:val="center"/>
          </w:tcPr>
          <w:p>
            <w:pPr>
              <w:jc w:val="center"/>
            </w:pPr>
            <w:r>
              <w:rPr>
                <w:b/>
                <w:color w:val="FFFFFF"/>
                <w:sz w:val="15"/>
              </w:rPr>
              <w:t>Agenda item</w:t>
            </w:r>
          </w:p>
        </w:tc>
        <w:tc>
          <w:tcPr>
            <w:tcW w:type="dxa" w:w="4680"/>
            <w:shd w:fill="203864"/>
            <w:tcMar>
              <w:top w:w="100" w:type="dxa"/>
              <w:start w:w="100" w:type="dxa"/>
              <w:bottom w:w="100" w:type="dxa"/>
              <w:end w:w="100" w:type="dxa"/>
            </w:tcMar>
            <w:vAlign w:val="center"/>
          </w:tcPr>
          <w:p>
            <w:pPr>
              <w:jc w:val="center"/>
            </w:pPr>
            <w:r>
              <w:rPr>
                <w:b/>
                <w:color w:val="FFFFFF"/>
                <w:sz w:val="15"/>
              </w:rPr>
              <w:t>Evidence requested</w:t>
            </w:r>
          </w:p>
        </w:tc>
        <w:tc>
          <w:tcPr>
            <w:tcW w:type="dxa" w:w="3384"/>
            <w:shd w:fill="203864"/>
            <w:tcMar>
              <w:top w:w="100" w:type="dxa"/>
              <w:start w:w="100" w:type="dxa"/>
              <w:bottom w:w="100" w:type="dxa"/>
              <w:end w:w="100" w:type="dxa"/>
            </w:tcMar>
            <w:vAlign w:val="center"/>
          </w:tcPr>
          <w:p>
            <w:pPr>
              <w:jc w:val="center"/>
            </w:pPr>
            <w:r>
              <w:rPr>
                <w:b/>
                <w:color w:val="FFFFFF"/>
                <w:sz w:val="15"/>
              </w:rPr>
              <w:t>Meeting outcome</w:t>
            </w:r>
          </w:p>
        </w:tc>
      </w:tr>
      <w:tr>
        <w:trPr>
          <w:cantSplit/>
        </w:trPr>
        <w:tc>
          <w:tcPr>
            <w:tcW w:type="dxa" w:w="1872"/>
            <w:tcMar>
              <w:top w:w="95" w:type="dxa"/>
              <w:start w:w="95" w:type="dxa"/>
              <w:bottom w:w="95" w:type="dxa"/>
              <w:end w:w="95" w:type="dxa"/>
            </w:tcMar>
            <w:vAlign w:val="center"/>
          </w:tcPr>
          <w:p>
            <w:pPr>
              <w:spacing w:after="20" w:line="240" w:lineRule="auto"/>
              <w:jc w:val="center"/>
            </w:pPr>
            <w:r>
              <w:rPr>
                <w:sz w:val="15"/>
              </w:rPr>
              <w:t>Legal access route</w:t>
            </w:r>
          </w:p>
        </w:tc>
        <w:tc>
          <w:tcPr>
            <w:tcW w:type="dxa" w:w="4680"/>
            <w:tcMar>
              <w:top w:w="95" w:type="dxa"/>
              <w:start w:w="95" w:type="dxa"/>
              <w:bottom w:w="95" w:type="dxa"/>
              <w:end w:w="95" w:type="dxa"/>
            </w:tcMar>
            <w:vAlign w:val="center"/>
          </w:tcPr>
          <w:p>
            <w:pPr>
              <w:spacing w:after="20" w:line="240" w:lineRule="auto"/>
            </w:pPr>
            <w:r>
              <w:rPr>
                <w:sz w:val="15"/>
              </w:rPr>
              <w:t>Current policy for institutions, agencies, PSUs, companies and startups.</w:t>
            </w:r>
          </w:p>
        </w:tc>
        <w:tc>
          <w:tcPr>
            <w:tcW w:type="dxa" w:w="3384"/>
            <w:tcMar>
              <w:top w:w="95" w:type="dxa"/>
              <w:start w:w="95" w:type="dxa"/>
              <w:bottom w:w="95" w:type="dxa"/>
              <w:end w:w="95" w:type="dxa"/>
            </w:tcMar>
            <w:vAlign w:val="center"/>
          </w:tcPr>
          <w:p>
            <w:pPr>
              <w:spacing w:after="20" w:line="240" w:lineRule="auto"/>
            </w:pPr>
            <w:r>
              <w:rPr>
                <w:sz w:val="15"/>
              </w:rPr>
              <w:t>Named route, applicant, authority and next date.</w:t>
            </w:r>
          </w:p>
        </w:tc>
      </w:tr>
      <w:tr>
        <w:trPr>
          <w:cantSplit/>
        </w:trPr>
        <w:tc>
          <w:tcPr>
            <w:tcW w:type="dxa" w:w="1872"/>
            <w:tcMar>
              <w:top w:w="95" w:type="dxa"/>
              <w:start w:w="95" w:type="dxa"/>
              <w:bottom w:w="95" w:type="dxa"/>
              <w:end w:w="95" w:type="dxa"/>
            </w:tcMar>
            <w:vAlign w:val="center"/>
            <w:shd w:fill="F1F5F9"/>
          </w:tcPr>
          <w:p>
            <w:pPr>
              <w:spacing w:after="20" w:line="240" w:lineRule="auto"/>
              <w:jc w:val="center"/>
            </w:pPr>
            <w:r>
              <w:rPr>
                <w:sz w:val="15"/>
              </w:rPr>
              <w:t>Calls and funding</w:t>
            </w:r>
          </w:p>
        </w:tc>
        <w:tc>
          <w:tcPr>
            <w:tcW w:type="dxa" w:w="4680"/>
            <w:tcMar>
              <w:top w:w="95" w:type="dxa"/>
              <w:start w:w="95" w:type="dxa"/>
              <w:bottom w:w="95" w:type="dxa"/>
              <w:end w:w="95" w:type="dxa"/>
            </w:tcMar>
            <w:vAlign w:val="center"/>
            <w:shd w:fill="F1F5F9"/>
          </w:tcPr>
          <w:p>
            <w:pPr>
              <w:spacing w:after="20" w:line="240" w:lineRule="auto"/>
            </w:pPr>
            <w:r>
              <w:rPr>
                <w:sz w:val="15"/>
              </w:rPr>
              <w:t>Open, scheduled and closed calls, budget bands, instrument and evaluation time.</w:t>
            </w:r>
          </w:p>
        </w:tc>
        <w:tc>
          <w:tcPr>
            <w:tcW w:type="dxa" w:w="3384"/>
            <w:tcMar>
              <w:top w:w="95" w:type="dxa"/>
              <w:start w:w="95" w:type="dxa"/>
              <w:bottom w:w="95" w:type="dxa"/>
              <w:end w:w="95" w:type="dxa"/>
            </w:tcMar>
            <w:vAlign w:val="center"/>
            <w:shd w:fill="F1F5F9"/>
          </w:tcPr>
          <w:p>
            <w:pPr>
              <w:spacing w:after="20" w:line="240" w:lineRule="auto"/>
            </w:pPr>
            <w:r>
              <w:rPr>
                <w:sz w:val="15"/>
              </w:rPr>
              <w:t>Application calendar and responsible Gujarat applicants.</w:t>
            </w:r>
          </w:p>
        </w:tc>
      </w:tr>
      <w:tr>
        <w:trPr>
          <w:cantSplit/>
        </w:trPr>
        <w:tc>
          <w:tcPr>
            <w:tcW w:type="dxa" w:w="1872"/>
            <w:tcMar>
              <w:top w:w="95" w:type="dxa"/>
              <w:start w:w="95" w:type="dxa"/>
              <w:bottom w:w="95" w:type="dxa"/>
              <w:end w:w="95" w:type="dxa"/>
            </w:tcMar>
            <w:vAlign w:val="center"/>
          </w:tcPr>
          <w:p>
            <w:pPr>
              <w:spacing w:after="20" w:line="240" w:lineRule="auto"/>
              <w:jc w:val="center"/>
            </w:pPr>
            <w:r>
              <w:rPr>
                <w:sz w:val="15"/>
              </w:rPr>
              <w:t>Facilities</w:t>
            </w:r>
          </w:p>
        </w:tc>
        <w:tc>
          <w:tcPr>
            <w:tcW w:type="dxa" w:w="4680"/>
            <w:tcMar>
              <w:top w:w="95" w:type="dxa"/>
              <w:start w:w="95" w:type="dxa"/>
              <w:bottom w:w="95" w:type="dxa"/>
              <w:end w:w="95" w:type="dxa"/>
            </w:tcMar>
            <w:vAlign w:val="center"/>
          </w:tcPr>
          <w:p>
            <w:pPr>
              <w:spacing w:after="20" w:line="240" w:lineRule="auto"/>
            </w:pPr>
            <w:r>
              <w:rPr>
                <w:sz w:val="15"/>
              </w:rPr>
              <w:t>Installed and commissioned inventory, utilization, tariff, queue, operator support and interim options.</w:t>
            </w:r>
          </w:p>
        </w:tc>
        <w:tc>
          <w:tcPr>
            <w:tcW w:type="dxa" w:w="3384"/>
            <w:tcMar>
              <w:top w:w="95" w:type="dxa"/>
              <w:start w:w="95" w:type="dxa"/>
              <w:bottom w:w="95" w:type="dxa"/>
              <w:end w:w="95" w:type="dxa"/>
            </w:tcMar>
            <w:vAlign w:val="center"/>
          </w:tcPr>
          <w:p>
            <w:pPr>
              <w:spacing w:after="20" w:line="240" w:lineRule="auto"/>
            </w:pPr>
            <w:r>
              <w:rPr>
                <w:sz w:val="15"/>
              </w:rPr>
              <w:t>Facility matrix and access owner.</w:t>
            </w:r>
          </w:p>
        </w:tc>
      </w:tr>
      <w:tr>
        <w:trPr>
          <w:cantSplit/>
        </w:trPr>
        <w:tc>
          <w:tcPr>
            <w:tcW w:type="dxa" w:w="1872"/>
            <w:tcMar>
              <w:top w:w="95" w:type="dxa"/>
              <w:start w:w="95" w:type="dxa"/>
              <w:bottom w:w="95" w:type="dxa"/>
              <w:end w:w="95" w:type="dxa"/>
            </w:tcMar>
            <w:vAlign w:val="center"/>
            <w:shd w:fill="F1F5F9"/>
          </w:tcPr>
          <w:p>
            <w:pPr>
              <w:spacing w:after="20" w:line="240" w:lineRule="auto"/>
              <w:jc w:val="center"/>
            </w:pPr>
            <w:r>
              <w:rPr>
                <w:sz w:val="15"/>
              </w:rPr>
              <w:t>Projects in Gujarat</w:t>
            </w:r>
          </w:p>
        </w:tc>
        <w:tc>
          <w:tcPr>
            <w:tcW w:type="dxa" w:w="4680"/>
            <w:tcMar>
              <w:top w:w="95" w:type="dxa"/>
              <w:start w:w="95" w:type="dxa"/>
              <w:bottom w:w="95" w:type="dxa"/>
              <w:end w:w="95" w:type="dxa"/>
            </w:tcMar>
            <w:vAlign w:val="center"/>
            <w:shd w:fill="F1F5F9"/>
          </w:tcPr>
          <w:p>
            <w:pPr>
              <w:spacing w:after="20" w:line="240" w:lineRule="auto"/>
            </w:pPr>
            <w:r>
              <w:rPr>
                <w:sz w:val="15"/>
              </w:rPr>
              <w:t>Existing PIs, work packages, sanctions, milestones and assets.</w:t>
            </w:r>
          </w:p>
        </w:tc>
        <w:tc>
          <w:tcPr>
            <w:tcW w:type="dxa" w:w="3384"/>
            <w:tcMar>
              <w:top w:w="95" w:type="dxa"/>
              <w:start w:w="95" w:type="dxa"/>
              <w:bottom w:w="95" w:type="dxa"/>
              <w:end w:w="95" w:type="dxa"/>
            </w:tcMar>
            <w:vAlign w:val="center"/>
            <w:shd w:fill="F1F5F9"/>
          </w:tcPr>
          <w:p>
            <w:pPr>
              <w:spacing w:after="20" w:line="240" w:lineRule="auto"/>
            </w:pPr>
            <w:r>
              <w:rPr>
                <w:sz w:val="15"/>
              </w:rPr>
              <w:t>Verified Gujarat hub map.</w:t>
            </w:r>
          </w:p>
        </w:tc>
      </w:tr>
      <w:tr>
        <w:trPr>
          <w:cantSplit/>
        </w:trPr>
        <w:tc>
          <w:tcPr>
            <w:tcW w:type="dxa" w:w="1872"/>
            <w:tcMar>
              <w:top w:w="95" w:type="dxa"/>
              <w:start w:w="95" w:type="dxa"/>
              <w:bottom w:w="95" w:type="dxa"/>
              <w:end w:w="95" w:type="dxa"/>
            </w:tcMar>
            <w:vAlign w:val="center"/>
          </w:tcPr>
          <w:p>
            <w:pPr>
              <w:spacing w:after="20" w:line="240" w:lineRule="auto"/>
              <w:jc w:val="center"/>
            </w:pPr>
            <w:r>
              <w:rPr>
                <w:sz w:val="15"/>
              </w:rPr>
              <w:t>Industry intake</w:t>
            </w:r>
          </w:p>
        </w:tc>
        <w:tc>
          <w:tcPr>
            <w:tcW w:type="dxa" w:w="4680"/>
            <w:tcMar>
              <w:top w:w="95" w:type="dxa"/>
              <w:start w:w="95" w:type="dxa"/>
              <w:bottom w:w="95" w:type="dxa"/>
              <w:end w:w="95" w:type="dxa"/>
            </w:tcMar>
            <w:vAlign w:val="center"/>
          </w:tcPr>
          <w:p>
            <w:pPr>
              <w:spacing w:after="20" w:line="240" w:lineRule="auto"/>
            </w:pPr>
            <w:r>
              <w:rPr>
                <w:sz w:val="15"/>
              </w:rPr>
              <w:t>Process for accepting user problems and matching technical teams.</w:t>
            </w:r>
          </w:p>
        </w:tc>
        <w:tc>
          <w:tcPr>
            <w:tcW w:type="dxa" w:w="3384"/>
            <w:tcMar>
              <w:top w:w="95" w:type="dxa"/>
              <w:start w:w="95" w:type="dxa"/>
              <w:bottom w:w="95" w:type="dxa"/>
              <w:end w:w="95" w:type="dxa"/>
            </w:tcMar>
            <w:vAlign w:val="center"/>
          </w:tcPr>
          <w:p>
            <w:pPr>
              <w:spacing w:after="20" w:line="240" w:lineRule="auto"/>
            </w:pPr>
            <w:r>
              <w:rPr>
                <w:sz w:val="15"/>
              </w:rPr>
              <w:t>Problem submission format and review owner.</w:t>
            </w:r>
          </w:p>
        </w:tc>
      </w:tr>
      <w:tr>
        <w:trPr>
          <w:cantSplit/>
        </w:trPr>
        <w:tc>
          <w:tcPr>
            <w:tcW w:type="dxa" w:w="1872"/>
            <w:tcMar>
              <w:top w:w="95" w:type="dxa"/>
              <w:start w:w="95" w:type="dxa"/>
              <w:bottom w:w="95" w:type="dxa"/>
              <w:end w:w="95" w:type="dxa"/>
            </w:tcMar>
            <w:vAlign w:val="center"/>
            <w:shd w:fill="F1F5F9"/>
          </w:tcPr>
          <w:p>
            <w:pPr>
              <w:spacing w:after="20" w:line="240" w:lineRule="auto"/>
              <w:jc w:val="center"/>
            </w:pPr>
            <w:r>
              <w:rPr>
                <w:sz w:val="15"/>
              </w:rPr>
              <w:t>Commercial terms</w:t>
            </w:r>
          </w:p>
        </w:tc>
        <w:tc>
          <w:tcPr>
            <w:tcW w:type="dxa" w:w="4680"/>
            <w:tcMar>
              <w:top w:w="95" w:type="dxa"/>
              <w:start w:w="95" w:type="dxa"/>
              <w:bottom w:w="95" w:type="dxa"/>
              <w:end w:w="95" w:type="dxa"/>
            </w:tcMar>
            <w:vAlign w:val="center"/>
            <w:shd w:fill="F1F5F9"/>
          </w:tcPr>
          <w:p>
            <w:pPr>
              <w:spacing w:after="20" w:line="240" w:lineRule="auto"/>
            </w:pPr>
            <w:r>
              <w:rPr>
                <w:sz w:val="15"/>
              </w:rPr>
              <w:t>Background and foreground IP, equity or CCPS, licensing, publication and confidentiality.</w:t>
            </w:r>
          </w:p>
        </w:tc>
        <w:tc>
          <w:tcPr>
            <w:tcW w:type="dxa" w:w="3384"/>
            <w:tcMar>
              <w:top w:w="95" w:type="dxa"/>
              <w:start w:w="95" w:type="dxa"/>
              <w:bottom w:w="95" w:type="dxa"/>
              <w:end w:w="95" w:type="dxa"/>
            </w:tcMar>
            <w:vAlign w:val="center"/>
            <w:shd w:fill="F1F5F9"/>
          </w:tcPr>
          <w:p>
            <w:pPr>
              <w:spacing w:after="20" w:line="240" w:lineRule="auto"/>
            </w:pPr>
            <w:r>
              <w:rPr>
                <w:sz w:val="15"/>
              </w:rPr>
              <w:t>Draft term sheet and unresolved legal items.</w:t>
            </w:r>
          </w:p>
        </w:tc>
      </w:tr>
      <w:tr>
        <w:trPr>
          <w:cantSplit/>
        </w:trPr>
        <w:tc>
          <w:tcPr>
            <w:tcW w:type="dxa" w:w="1872"/>
            <w:tcMar>
              <w:top w:w="95" w:type="dxa"/>
              <w:start w:w="95" w:type="dxa"/>
              <w:bottom w:w="95" w:type="dxa"/>
              <w:end w:w="95" w:type="dxa"/>
            </w:tcMar>
            <w:vAlign w:val="center"/>
          </w:tcPr>
          <w:p>
            <w:pPr>
              <w:spacing w:after="20" w:line="240" w:lineRule="auto"/>
              <w:jc w:val="center"/>
            </w:pPr>
            <w:r>
              <w:rPr>
                <w:sz w:val="15"/>
              </w:rPr>
              <w:t>Security and validation</w:t>
            </w:r>
          </w:p>
        </w:tc>
        <w:tc>
          <w:tcPr>
            <w:tcW w:type="dxa" w:w="4680"/>
            <w:tcMar>
              <w:top w:w="95" w:type="dxa"/>
              <w:start w:w="95" w:type="dxa"/>
              <w:bottom w:w="95" w:type="dxa"/>
              <w:end w:w="95" w:type="dxa"/>
            </w:tcMar>
            <w:vAlign w:val="center"/>
          </w:tcPr>
          <w:p>
            <w:pPr>
              <w:spacing w:after="20" w:line="240" w:lineRule="auto"/>
            </w:pPr>
            <w:r>
              <w:rPr>
                <w:sz w:val="15"/>
              </w:rPr>
              <w:t>Critical infrastructure approvals, data rules, standards and independent tests.</w:t>
            </w:r>
          </w:p>
        </w:tc>
        <w:tc>
          <w:tcPr>
            <w:tcW w:type="dxa" w:w="3384"/>
            <w:tcMar>
              <w:top w:w="95" w:type="dxa"/>
              <w:start w:w="95" w:type="dxa"/>
              <w:bottom w:w="95" w:type="dxa"/>
              <w:end w:w="95" w:type="dxa"/>
            </w:tcMar>
            <w:vAlign w:val="center"/>
          </w:tcPr>
          <w:p>
            <w:pPr>
              <w:spacing w:after="20" w:line="240" w:lineRule="auto"/>
            </w:pPr>
            <w:r>
              <w:rPr>
                <w:sz w:val="15"/>
              </w:rPr>
              <w:t>Security review and acceptance plan.</w:t>
            </w:r>
          </w:p>
        </w:tc>
      </w:tr>
      <w:tr>
        <w:trPr>
          <w:cantSplit/>
        </w:trPr>
        <w:tc>
          <w:tcPr>
            <w:tcW w:type="dxa" w:w="1872"/>
            <w:tcMar>
              <w:top w:w="95" w:type="dxa"/>
              <w:start w:w="95" w:type="dxa"/>
              <w:bottom w:w="95" w:type="dxa"/>
              <w:end w:w="95" w:type="dxa"/>
            </w:tcMar>
            <w:vAlign w:val="center"/>
            <w:shd w:fill="F1F5F9"/>
          </w:tcPr>
          <w:p>
            <w:pPr>
              <w:spacing w:after="20" w:line="240" w:lineRule="auto"/>
              <w:jc w:val="center"/>
            </w:pPr>
            <w:r>
              <w:rPr>
                <w:sz w:val="15"/>
              </w:rPr>
              <w:t>Twelve-month action</w:t>
            </w:r>
          </w:p>
        </w:tc>
        <w:tc>
          <w:tcPr>
            <w:tcW w:type="dxa" w:w="4680"/>
            <w:tcMar>
              <w:top w:w="95" w:type="dxa"/>
              <w:start w:w="95" w:type="dxa"/>
              <w:bottom w:w="95" w:type="dxa"/>
              <w:end w:w="95" w:type="dxa"/>
            </w:tcMar>
            <w:vAlign w:val="center"/>
            <w:shd w:fill="F1F5F9"/>
          </w:tcPr>
          <w:p>
            <w:pPr>
              <w:spacing w:after="20" w:line="240" w:lineRule="auto"/>
            </w:pPr>
            <w:r>
              <w:rPr>
                <w:sz w:val="15"/>
              </w:rPr>
              <w:t>Work possible without duplicating national infrastructure.</w:t>
            </w:r>
          </w:p>
        </w:tc>
        <w:tc>
          <w:tcPr>
            <w:tcW w:type="dxa" w:w="3384"/>
            <w:tcMar>
              <w:top w:w="95" w:type="dxa"/>
              <w:start w:w="95" w:type="dxa"/>
              <w:bottom w:w="95" w:type="dxa"/>
              <w:end w:w="95" w:type="dxa"/>
            </w:tcMar>
            <w:vAlign w:val="center"/>
            <w:shd w:fill="F1F5F9"/>
          </w:tcPr>
          <w:p>
            <w:pPr>
              <w:spacing w:after="20" w:line="240" w:lineRule="auto"/>
            </w:pPr>
            <w:r>
              <w:rPr>
                <w:sz w:val="15"/>
              </w:rPr>
              <w:t>Named work packages, dates and decision gates.</w:t>
            </w:r>
          </w:p>
        </w:tc>
      </w:tr>
    </w:tbl>
    <w:p>
      <w:pPr>
        <w:spacing w:after="20"/>
      </w:pPr>
    </w:p>
    <w:p>
      <w:r>
        <w:br w:type="page"/>
      </w:r>
    </w:p>
    <w:p>
      <w:pPr>
        <w:pStyle w:val="Heading1"/>
      </w:pPr>
      <w:r>
        <w:t>5 Institution capability interview</w:t>
      </w:r>
    </w:p>
    <w:p>
      <w:r>
        <w:t>1. What formal quantum projects or work packages exist? Provide sanction and latest status.</w:t>
      </w:r>
    </w:p>
    <w:p>
      <w:r>
        <w:t>Response  __________________________________________________________________________________</w:t>
      </w:r>
    </w:p>
    <w:p>
      <w:r>
        <w:t>Evidence reference  __________________________________________________________________________</w:t>
      </w:r>
    </w:p>
    <w:p>
      <w:r>
        <w:t>2. Who works on each project and at what level of effort?</w:t>
      </w:r>
    </w:p>
    <w:p>
      <w:r>
        <w:t>Response  __________________________________________________________________________________</w:t>
      </w:r>
    </w:p>
    <w:p>
      <w:r>
        <w:t>Evidence reference  __________________________________________________________________________</w:t>
      </w:r>
    </w:p>
    <w:p>
      <w:r>
        <w:t>3. Which quantum-specific equipment is operational? Provide ownership, serial, commissioning and calibration.</w:t>
      </w:r>
    </w:p>
    <w:p>
      <w:r>
        <w:t>Response  __________________________________________________________________________________</w:t>
      </w:r>
    </w:p>
    <w:p>
      <w:r>
        <w:t>Evidence reference  __________________________________________________________________________</w:t>
      </w:r>
    </w:p>
    <w:p>
      <w:r>
        <w:t>4. Which results are publications, prototypes, independent tests, field deployments or products?</w:t>
      </w:r>
    </w:p>
    <w:p>
      <w:r>
        <w:t>Response  __________________________________________________________________________________</w:t>
      </w:r>
    </w:p>
    <w:p>
      <w:r>
        <w:t>Evidence reference  __________________________________________________________________________</w:t>
      </w:r>
    </w:p>
    <w:p>
      <w:r>
        <w:t>5. Who owns background IP, foreground IP, software, recipes and data?</w:t>
      </w:r>
    </w:p>
    <w:p>
      <w:r>
        <w:t>Response  __________________________________________________________________________________</w:t>
      </w:r>
    </w:p>
    <w:p>
      <w:r>
        <w:t>Evidence reference  __________________________________________________________________________</w:t>
      </w:r>
    </w:p>
    <w:p>
      <w:r>
        <w:t>6. What formal NQM hub or technical-group role exists?</w:t>
      </w:r>
    </w:p>
    <w:p>
      <w:r>
        <w:t>Response  __________________________________________________________________________________</w:t>
      </w:r>
    </w:p>
    <w:p>
      <w:r>
        <w:t>Evidence reference  __________________________________________________________________________</w:t>
      </w:r>
    </w:p>
    <w:p>
      <w:r>
        <w:t>7. Which facilities can external Gujarat users access, under what terms?</w:t>
      </w:r>
    </w:p>
    <w:p>
      <w:r>
        <w:t>Response  __________________________________________________________________________________</w:t>
      </w:r>
    </w:p>
    <w:p>
      <w:r>
        <w:t>Evidence reference  __________________________________________________________________________</w:t>
      </w:r>
    </w:p>
    <w:p>
      <w:r>
        <w:t>8. Which five gaps block the next technical milestone?</w:t>
      </w:r>
    </w:p>
    <w:p>
      <w:r>
        <w:t>Response  __________________________________________________________________________________</w:t>
      </w:r>
    </w:p>
    <w:p>
      <w:r>
        <w:t>Evidence reference  __________________________________________________________________________</w:t>
      </w:r>
    </w:p>
    <w:p>
      <w:r>
        <w:t>9. Which named user problem has a baseline, data or site and procurement path?</w:t>
      </w:r>
    </w:p>
    <w:p>
      <w:r>
        <w:t>Response  __________________________________________________________________________________</w:t>
      </w:r>
    </w:p>
    <w:p>
      <w:r>
        <w:t>Evidence reference  __________________________________________________________________________</w:t>
      </w:r>
    </w:p>
    <w:p>
      <w:r>
        <w:t>10. What can the institution commit to a shared state network?</w:t>
      </w:r>
    </w:p>
    <w:p>
      <w:r>
        <w:t>Response  __________________________________________________________________________________</w:t>
      </w:r>
    </w:p>
    <w:p>
      <w:r>
        <w:t>Evidence reference  __________________________________________________________________________</w:t>
      </w:r>
    </w:p>
    <w:p>
      <w:r>
        <w:br w:type="page"/>
      </w:r>
    </w:p>
    <w:p>
      <w:pPr>
        <w:pStyle w:val="Heading1"/>
      </w:pPr>
      <w:r>
        <w:t>6 Facility inspection form</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97"/>
        <w:gridCol w:w="4997"/>
      </w:tblGrid>
      <w:tr>
        <w:trPr>
          <w:tblHeader w:val="true"/>
          <w:cantSplit/>
        </w:trPr>
        <w:tc>
          <w:tcPr>
            <w:tcW w:type="dxa" w:w="3168"/>
            <w:shd w:fill="203864"/>
            <w:tcMar>
              <w:top w:w="100" w:type="dxa"/>
              <w:start w:w="100" w:type="dxa"/>
              <w:bottom w:w="100" w:type="dxa"/>
              <w:end w:w="100" w:type="dxa"/>
            </w:tcMar>
            <w:vAlign w:val="center"/>
          </w:tcPr>
          <w:p>
            <w:pPr>
              <w:jc w:val="center"/>
            </w:pPr>
            <w:r>
              <w:rPr>
                <w:b/>
                <w:color w:val="FFFFFF"/>
                <w:sz w:val="16"/>
              </w:rPr>
              <w:t>Field</w:t>
            </w:r>
          </w:p>
        </w:tc>
        <w:tc>
          <w:tcPr>
            <w:tcW w:type="dxa" w:w="6624"/>
            <w:shd w:fill="203864"/>
            <w:tcMar>
              <w:top w:w="100" w:type="dxa"/>
              <w:start w:w="100" w:type="dxa"/>
              <w:bottom w:w="100" w:type="dxa"/>
              <w:end w:w="100" w:type="dxa"/>
            </w:tcMar>
            <w:vAlign w:val="center"/>
          </w:tcPr>
          <w:p>
            <w:pPr>
              <w:jc w:val="center"/>
            </w:pPr>
            <w:r>
              <w:rPr>
                <w:b/>
                <w:color w:val="FFFFFF"/>
                <w:sz w:val="16"/>
              </w:rPr>
              <w:t>Response</w:t>
            </w:r>
          </w:p>
        </w:tc>
      </w:tr>
      <w:tr>
        <w:trPr>
          <w:cantSplit/>
        </w:trPr>
        <w:tc>
          <w:tcPr>
            <w:tcW w:type="dxa" w:w="3168"/>
            <w:tcMar>
              <w:top w:w="95" w:type="dxa"/>
              <w:start w:w="95" w:type="dxa"/>
              <w:bottom w:w="95" w:type="dxa"/>
              <w:end w:w="95" w:type="dxa"/>
            </w:tcMar>
            <w:vAlign w:val="center"/>
          </w:tcPr>
          <w:p>
            <w:pPr>
              <w:spacing w:after="20" w:line="240" w:lineRule="auto"/>
              <w:jc w:val="center"/>
            </w:pPr>
            <w:r>
              <w:rPr>
                <w:sz w:val="16"/>
              </w:rPr>
              <w:t>Institution and site</w:t>
            </w:r>
          </w:p>
        </w:tc>
        <w:tc>
          <w:tcPr>
            <w:tcW w:type="dxa" w:w="6624"/>
            <w:tcMar>
              <w:top w:w="95" w:type="dxa"/>
              <w:start w:w="95" w:type="dxa"/>
              <w:bottom w:w="95" w:type="dxa"/>
              <w:end w:w="95" w:type="dxa"/>
            </w:tcMar>
            <w:vAlign w:val="center"/>
          </w:tcPr>
          <w:p>
            <w:pPr>
              <w:spacing w:after="20" w:line="240" w:lineRule="auto"/>
            </w:pPr>
            <w:r>
              <w:rPr>
                <w:sz w:val="16"/>
              </w:rPr>
            </w:r>
          </w:p>
        </w:tc>
      </w:tr>
      <w:tr>
        <w:trPr>
          <w:cantSplit/>
        </w:trPr>
        <w:tc>
          <w:tcPr>
            <w:tcW w:type="dxa" w:w="3168"/>
            <w:tcMar>
              <w:top w:w="95" w:type="dxa"/>
              <w:start w:w="95" w:type="dxa"/>
              <w:bottom w:w="95" w:type="dxa"/>
              <w:end w:w="95" w:type="dxa"/>
            </w:tcMar>
            <w:vAlign w:val="center"/>
            <w:shd w:fill="F1F5F9"/>
          </w:tcPr>
          <w:p>
            <w:pPr>
              <w:spacing w:after="20" w:line="240" w:lineRule="auto"/>
              <w:jc w:val="center"/>
            </w:pPr>
            <w:r>
              <w:rPr>
                <w:sz w:val="16"/>
              </w:rPr>
              <w:t>Facility or instrument</w:t>
            </w:r>
          </w:p>
        </w:tc>
        <w:tc>
          <w:tcPr>
            <w:tcW w:type="dxa" w:w="662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168"/>
            <w:tcMar>
              <w:top w:w="95" w:type="dxa"/>
              <w:start w:w="95" w:type="dxa"/>
              <w:bottom w:w="95" w:type="dxa"/>
              <w:end w:w="95" w:type="dxa"/>
            </w:tcMar>
            <w:vAlign w:val="center"/>
          </w:tcPr>
          <w:p>
            <w:pPr>
              <w:spacing w:after="20" w:line="240" w:lineRule="auto"/>
              <w:jc w:val="center"/>
            </w:pPr>
            <w:r>
              <w:rPr>
                <w:sz w:val="16"/>
              </w:rPr>
              <w:t>Owner and custodian</w:t>
            </w:r>
          </w:p>
        </w:tc>
        <w:tc>
          <w:tcPr>
            <w:tcW w:type="dxa" w:w="6624"/>
            <w:tcMar>
              <w:top w:w="95" w:type="dxa"/>
              <w:start w:w="95" w:type="dxa"/>
              <w:bottom w:w="95" w:type="dxa"/>
              <w:end w:w="95" w:type="dxa"/>
            </w:tcMar>
            <w:vAlign w:val="center"/>
          </w:tcPr>
          <w:p>
            <w:pPr>
              <w:spacing w:after="20" w:line="240" w:lineRule="auto"/>
            </w:pPr>
            <w:r>
              <w:rPr>
                <w:sz w:val="16"/>
              </w:rPr>
            </w:r>
          </w:p>
        </w:tc>
      </w:tr>
      <w:tr>
        <w:trPr>
          <w:cantSplit/>
        </w:trPr>
        <w:tc>
          <w:tcPr>
            <w:tcW w:type="dxa" w:w="3168"/>
            <w:tcMar>
              <w:top w:w="95" w:type="dxa"/>
              <w:start w:w="95" w:type="dxa"/>
              <w:bottom w:w="95" w:type="dxa"/>
              <w:end w:w="95" w:type="dxa"/>
            </w:tcMar>
            <w:vAlign w:val="center"/>
            <w:shd w:fill="F1F5F9"/>
          </w:tcPr>
          <w:p>
            <w:pPr>
              <w:spacing w:after="20" w:line="240" w:lineRule="auto"/>
              <w:jc w:val="center"/>
            </w:pPr>
            <w:r>
              <w:rPr>
                <w:sz w:val="16"/>
              </w:rPr>
              <w:t>Funding source</w:t>
            </w:r>
          </w:p>
        </w:tc>
        <w:tc>
          <w:tcPr>
            <w:tcW w:type="dxa" w:w="662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168"/>
            <w:tcMar>
              <w:top w:w="95" w:type="dxa"/>
              <w:start w:w="95" w:type="dxa"/>
              <w:bottom w:w="95" w:type="dxa"/>
              <w:end w:w="95" w:type="dxa"/>
            </w:tcMar>
            <w:vAlign w:val="center"/>
          </w:tcPr>
          <w:p>
            <w:pPr>
              <w:spacing w:after="20" w:line="240" w:lineRule="auto"/>
              <w:jc w:val="center"/>
            </w:pPr>
            <w:r>
              <w:rPr>
                <w:sz w:val="16"/>
              </w:rPr>
              <w:t>Make model and serial</w:t>
            </w:r>
          </w:p>
        </w:tc>
        <w:tc>
          <w:tcPr>
            <w:tcW w:type="dxa" w:w="6624"/>
            <w:tcMar>
              <w:top w:w="95" w:type="dxa"/>
              <w:start w:w="95" w:type="dxa"/>
              <w:bottom w:w="95" w:type="dxa"/>
              <w:end w:w="95" w:type="dxa"/>
            </w:tcMar>
            <w:vAlign w:val="center"/>
          </w:tcPr>
          <w:p>
            <w:pPr>
              <w:spacing w:after="20" w:line="240" w:lineRule="auto"/>
            </w:pPr>
            <w:r>
              <w:rPr>
                <w:sz w:val="16"/>
              </w:rPr>
            </w:r>
          </w:p>
        </w:tc>
      </w:tr>
      <w:tr>
        <w:trPr>
          <w:cantSplit/>
        </w:trPr>
        <w:tc>
          <w:tcPr>
            <w:tcW w:type="dxa" w:w="3168"/>
            <w:tcMar>
              <w:top w:w="95" w:type="dxa"/>
              <w:start w:w="95" w:type="dxa"/>
              <w:bottom w:w="95" w:type="dxa"/>
              <w:end w:w="95" w:type="dxa"/>
            </w:tcMar>
            <w:vAlign w:val="center"/>
            <w:shd w:fill="F1F5F9"/>
          </w:tcPr>
          <w:p>
            <w:pPr>
              <w:spacing w:after="20" w:line="240" w:lineRule="auto"/>
              <w:jc w:val="center"/>
            </w:pPr>
            <w:r>
              <w:rPr>
                <w:sz w:val="16"/>
              </w:rPr>
              <w:t>Purpose</w:t>
            </w:r>
          </w:p>
        </w:tc>
        <w:tc>
          <w:tcPr>
            <w:tcW w:type="dxa" w:w="6624"/>
            <w:tcMar>
              <w:top w:w="95" w:type="dxa"/>
              <w:start w:w="95" w:type="dxa"/>
              <w:bottom w:w="95" w:type="dxa"/>
              <w:end w:w="95" w:type="dxa"/>
            </w:tcMar>
            <w:vAlign w:val="center"/>
            <w:shd w:fill="F1F5F9"/>
          </w:tcPr>
          <w:p>
            <w:pPr>
              <w:spacing w:after="20" w:line="240" w:lineRule="auto"/>
            </w:pPr>
            <w:r>
              <w:rPr>
                <w:sz w:val="16"/>
              </w:rPr>
              <w:t>Teaching  Research  Prototype  Service  Accredited test</w:t>
            </w:r>
          </w:p>
        </w:tc>
      </w:tr>
      <w:tr>
        <w:trPr>
          <w:cantSplit/>
        </w:trPr>
        <w:tc>
          <w:tcPr>
            <w:tcW w:type="dxa" w:w="3168"/>
            <w:tcMar>
              <w:top w:w="95" w:type="dxa"/>
              <w:start w:w="95" w:type="dxa"/>
              <w:bottom w:w="95" w:type="dxa"/>
              <w:end w:w="95" w:type="dxa"/>
            </w:tcMar>
            <w:vAlign w:val="center"/>
          </w:tcPr>
          <w:p>
            <w:pPr>
              <w:spacing w:after="20" w:line="240" w:lineRule="auto"/>
              <w:jc w:val="center"/>
            </w:pPr>
            <w:r>
              <w:rPr>
                <w:sz w:val="16"/>
              </w:rPr>
              <w:t>Commissioned date</w:t>
            </w:r>
          </w:p>
        </w:tc>
        <w:tc>
          <w:tcPr>
            <w:tcW w:type="dxa" w:w="6624"/>
            <w:tcMar>
              <w:top w:w="95" w:type="dxa"/>
              <w:start w:w="95" w:type="dxa"/>
              <w:bottom w:w="95" w:type="dxa"/>
              <w:end w:w="95" w:type="dxa"/>
            </w:tcMar>
            <w:vAlign w:val="center"/>
          </w:tcPr>
          <w:p>
            <w:pPr>
              <w:spacing w:after="20" w:line="240" w:lineRule="auto"/>
            </w:pPr>
            <w:r>
              <w:rPr>
                <w:sz w:val="16"/>
              </w:rPr>
            </w:r>
          </w:p>
        </w:tc>
      </w:tr>
      <w:tr>
        <w:trPr>
          <w:cantSplit/>
        </w:trPr>
        <w:tc>
          <w:tcPr>
            <w:tcW w:type="dxa" w:w="3168"/>
            <w:tcMar>
              <w:top w:w="95" w:type="dxa"/>
              <w:start w:w="95" w:type="dxa"/>
              <w:bottom w:w="95" w:type="dxa"/>
              <w:end w:w="95" w:type="dxa"/>
            </w:tcMar>
            <w:vAlign w:val="center"/>
            <w:shd w:fill="F1F5F9"/>
          </w:tcPr>
          <w:p>
            <w:pPr>
              <w:spacing w:after="20" w:line="240" w:lineRule="auto"/>
              <w:jc w:val="center"/>
            </w:pPr>
            <w:r>
              <w:rPr>
                <w:sz w:val="16"/>
              </w:rPr>
              <w:t>Calibration and traceability</w:t>
            </w:r>
          </w:p>
        </w:tc>
        <w:tc>
          <w:tcPr>
            <w:tcW w:type="dxa" w:w="662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168"/>
            <w:tcMar>
              <w:top w:w="95" w:type="dxa"/>
              <w:start w:w="95" w:type="dxa"/>
              <w:bottom w:w="95" w:type="dxa"/>
              <w:end w:w="95" w:type="dxa"/>
            </w:tcMar>
            <w:vAlign w:val="center"/>
          </w:tcPr>
          <w:p>
            <w:pPr>
              <w:spacing w:after="20" w:line="240" w:lineRule="auto"/>
              <w:jc w:val="center"/>
            </w:pPr>
            <w:r>
              <w:rPr>
                <w:sz w:val="16"/>
              </w:rPr>
              <w:t>Operational status</w:t>
            </w:r>
          </w:p>
        </w:tc>
        <w:tc>
          <w:tcPr>
            <w:tcW w:type="dxa" w:w="6624"/>
            <w:tcMar>
              <w:top w:w="95" w:type="dxa"/>
              <w:start w:w="95" w:type="dxa"/>
              <w:bottom w:w="95" w:type="dxa"/>
              <w:end w:w="95" w:type="dxa"/>
            </w:tcMar>
            <w:vAlign w:val="center"/>
          </w:tcPr>
          <w:p>
            <w:pPr>
              <w:spacing w:after="20" w:line="240" w:lineRule="auto"/>
            </w:pPr>
            <w:r>
              <w:rPr>
                <w:sz w:val="16"/>
              </w:rPr>
              <w:t>Installed  Operational  Under repair  Decommissioned  Unknown</w:t>
            </w:r>
          </w:p>
        </w:tc>
      </w:tr>
      <w:tr>
        <w:trPr>
          <w:cantSplit/>
        </w:trPr>
        <w:tc>
          <w:tcPr>
            <w:tcW w:type="dxa" w:w="3168"/>
            <w:tcMar>
              <w:top w:w="95" w:type="dxa"/>
              <w:start w:w="95" w:type="dxa"/>
              <w:bottom w:w="95" w:type="dxa"/>
              <w:end w:w="95" w:type="dxa"/>
            </w:tcMar>
            <w:vAlign w:val="center"/>
            <w:shd w:fill="F1F5F9"/>
          </w:tcPr>
          <w:p>
            <w:pPr>
              <w:spacing w:after="20" w:line="240" w:lineRule="auto"/>
              <w:jc w:val="center"/>
            </w:pPr>
            <w:r>
              <w:rPr>
                <w:sz w:val="16"/>
              </w:rPr>
              <w:t>Uptime and utilization</w:t>
            </w:r>
          </w:p>
        </w:tc>
        <w:tc>
          <w:tcPr>
            <w:tcW w:type="dxa" w:w="662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168"/>
            <w:tcMar>
              <w:top w:w="95" w:type="dxa"/>
              <w:start w:w="95" w:type="dxa"/>
              <w:bottom w:w="95" w:type="dxa"/>
              <w:end w:w="95" w:type="dxa"/>
            </w:tcMar>
            <w:vAlign w:val="center"/>
          </w:tcPr>
          <w:p>
            <w:pPr>
              <w:spacing w:after="20" w:line="240" w:lineRule="auto"/>
              <w:jc w:val="center"/>
            </w:pPr>
            <w:r>
              <w:rPr>
                <w:sz w:val="16"/>
              </w:rPr>
              <w:t>Operators and training</w:t>
            </w:r>
          </w:p>
        </w:tc>
        <w:tc>
          <w:tcPr>
            <w:tcW w:type="dxa" w:w="6624"/>
            <w:tcMar>
              <w:top w:w="95" w:type="dxa"/>
              <w:start w:w="95" w:type="dxa"/>
              <w:bottom w:w="95" w:type="dxa"/>
              <w:end w:w="95" w:type="dxa"/>
            </w:tcMar>
            <w:vAlign w:val="center"/>
          </w:tcPr>
          <w:p>
            <w:pPr>
              <w:spacing w:after="20" w:line="240" w:lineRule="auto"/>
            </w:pPr>
            <w:r>
              <w:rPr>
                <w:sz w:val="16"/>
              </w:rPr>
            </w:r>
          </w:p>
        </w:tc>
      </w:tr>
      <w:tr>
        <w:trPr>
          <w:cantSplit/>
        </w:trPr>
        <w:tc>
          <w:tcPr>
            <w:tcW w:type="dxa" w:w="3168"/>
            <w:tcMar>
              <w:top w:w="95" w:type="dxa"/>
              <w:start w:w="95" w:type="dxa"/>
              <w:bottom w:w="95" w:type="dxa"/>
              <w:end w:w="95" w:type="dxa"/>
            </w:tcMar>
            <w:vAlign w:val="center"/>
            <w:shd w:fill="F1F5F9"/>
          </w:tcPr>
          <w:p>
            <w:pPr>
              <w:spacing w:after="20" w:line="240" w:lineRule="auto"/>
            </w:pPr>
            <w:r>
              <w:rPr>
                <w:sz w:val="16"/>
              </w:rPr>
              <w:t>Maintenance contract and annual cost</w:t>
            </w:r>
          </w:p>
        </w:tc>
        <w:tc>
          <w:tcPr>
            <w:tcW w:type="dxa" w:w="662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168"/>
            <w:tcMar>
              <w:top w:w="95" w:type="dxa"/>
              <w:start w:w="95" w:type="dxa"/>
              <w:bottom w:w="95" w:type="dxa"/>
              <w:end w:w="95" w:type="dxa"/>
            </w:tcMar>
            <w:vAlign w:val="center"/>
          </w:tcPr>
          <w:p>
            <w:pPr>
              <w:spacing w:after="20" w:line="240" w:lineRule="auto"/>
              <w:jc w:val="center"/>
            </w:pPr>
            <w:r>
              <w:rPr>
                <w:sz w:val="16"/>
              </w:rPr>
              <w:t>Safety and security controls</w:t>
            </w:r>
          </w:p>
        </w:tc>
        <w:tc>
          <w:tcPr>
            <w:tcW w:type="dxa" w:w="6624"/>
            <w:tcMar>
              <w:top w:w="95" w:type="dxa"/>
              <w:start w:w="95" w:type="dxa"/>
              <w:bottom w:w="95" w:type="dxa"/>
              <w:end w:w="95" w:type="dxa"/>
            </w:tcMar>
            <w:vAlign w:val="center"/>
          </w:tcPr>
          <w:p>
            <w:pPr>
              <w:spacing w:after="20" w:line="240" w:lineRule="auto"/>
            </w:pPr>
            <w:r>
              <w:rPr>
                <w:sz w:val="16"/>
              </w:rPr>
            </w:r>
          </w:p>
        </w:tc>
      </w:tr>
      <w:tr>
        <w:trPr>
          <w:cantSplit/>
        </w:trPr>
        <w:tc>
          <w:tcPr>
            <w:tcW w:type="dxa" w:w="3168"/>
            <w:tcMar>
              <w:top w:w="95" w:type="dxa"/>
              <w:start w:w="95" w:type="dxa"/>
              <w:bottom w:w="95" w:type="dxa"/>
              <w:end w:w="95" w:type="dxa"/>
            </w:tcMar>
            <w:vAlign w:val="center"/>
            <w:shd w:fill="F1F5F9"/>
          </w:tcPr>
          <w:p>
            <w:pPr>
              <w:spacing w:after="20" w:line="240" w:lineRule="auto"/>
            </w:pPr>
            <w:r>
              <w:rPr>
                <w:sz w:val="16"/>
              </w:rPr>
              <w:t>External access eligibility and tariff</w:t>
            </w:r>
          </w:p>
        </w:tc>
        <w:tc>
          <w:tcPr>
            <w:tcW w:type="dxa" w:w="662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168"/>
            <w:tcMar>
              <w:top w:w="95" w:type="dxa"/>
              <w:start w:w="95" w:type="dxa"/>
              <w:bottom w:w="95" w:type="dxa"/>
              <w:end w:w="95" w:type="dxa"/>
            </w:tcMar>
            <w:vAlign w:val="center"/>
          </w:tcPr>
          <w:p>
            <w:pPr>
              <w:spacing w:after="20" w:line="240" w:lineRule="auto"/>
              <w:jc w:val="center"/>
            </w:pPr>
            <w:r>
              <w:rPr>
                <w:sz w:val="16"/>
              </w:rPr>
              <w:t>Queue and service level</w:t>
            </w:r>
          </w:p>
        </w:tc>
        <w:tc>
          <w:tcPr>
            <w:tcW w:type="dxa" w:w="6624"/>
            <w:tcMar>
              <w:top w:w="95" w:type="dxa"/>
              <w:start w:w="95" w:type="dxa"/>
              <w:bottom w:w="95" w:type="dxa"/>
              <w:end w:w="95" w:type="dxa"/>
            </w:tcMar>
            <w:vAlign w:val="center"/>
          </w:tcPr>
          <w:p>
            <w:pPr>
              <w:spacing w:after="20" w:line="240" w:lineRule="auto"/>
            </w:pPr>
            <w:r>
              <w:rPr>
                <w:sz w:val="16"/>
              </w:rPr>
            </w:r>
          </w:p>
        </w:tc>
      </w:tr>
      <w:tr>
        <w:trPr>
          <w:cantSplit/>
        </w:trPr>
        <w:tc>
          <w:tcPr>
            <w:tcW w:type="dxa" w:w="3168"/>
            <w:tcMar>
              <w:top w:w="95" w:type="dxa"/>
              <w:start w:w="95" w:type="dxa"/>
              <w:bottom w:w="95" w:type="dxa"/>
              <w:end w:w="95" w:type="dxa"/>
            </w:tcMar>
            <w:vAlign w:val="center"/>
            <w:shd w:fill="F1F5F9"/>
          </w:tcPr>
          <w:p>
            <w:pPr>
              <w:spacing w:after="20" w:line="240" w:lineRule="auto"/>
            </w:pPr>
            <w:r>
              <w:rPr>
                <w:sz w:val="16"/>
              </w:rPr>
              <w:t>Sample data and confidentiality rules</w:t>
            </w:r>
          </w:p>
        </w:tc>
        <w:tc>
          <w:tcPr>
            <w:tcW w:type="dxa" w:w="662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168"/>
            <w:tcMar>
              <w:top w:w="95" w:type="dxa"/>
              <w:start w:w="95" w:type="dxa"/>
              <w:bottom w:w="95" w:type="dxa"/>
              <w:end w:w="95" w:type="dxa"/>
            </w:tcMar>
            <w:vAlign w:val="center"/>
          </w:tcPr>
          <w:p>
            <w:pPr>
              <w:spacing w:after="20" w:line="240" w:lineRule="auto"/>
              <w:jc w:val="center"/>
            </w:pPr>
            <w:r>
              <w:rPr>
                <w:sz w:val="16"/>
              </w:rPr>
              <w:t>Background and generated IP rules</w:t>
            </w:r>
          </w:p>
        </w:tc>
        <w:tc>
          <w:tcPr>
            <w:tcW w:type="dxa" w:w="6624"/>
            <w:tcMar>
              <w:top w:w="95" w:type="dxa"/>
              <w:start w:w="95" w:type="dxa"/>
              <w:bottom w:w="95" w:type="dxa"/>
              <w:end w:w="95" w:type="dxa"/>
            </w:tcMar>
            <w:vAlign w:val="center"/>
          </w:tcPr>
          <w:p>
            <w:pPr>
              <w:spacing w:after="20" w:line="240" w:lineRule="auto"/>
            </w:pPr>
            <w:r>
              <w:rPr>
                <w:sz w:val="16"/>
              </w:rPr>
            </w:r>
          </w:p>
        </w:tc>
      </w:tr>
      <w:tr>
        <w:trPr>
          <w:cantSplit/>
        </w:trPr>
        <w:tc>
          <w:tcPr>
            <w:tcW w:type="dxa" w:w="3168"/>
            <w:tcMar>
              <w:top w:w="95" w:type="dxa"/>
              <w:start w:w="95" w:type="dxa"/>
              <w:bottom w:w="95" w:type="dxa"/>
              <w:end w:w="95" w:type="dxa"/>
            </w:tcMar>
            <w:vAlign w:val="center"/>
            <w:shd w:fill="F1F5F9"/>
          </w:tcPr>
          <w:p>
            <w:pPr>
              <w:spacing w:after="20" w:line="240" w:lineRule="auto"/>
              <w:jc w:val="center"/>
            </w:pPr>
            <w:r>
              <w:rPr>
                <w:sz w:val="16"/>
              </w:rPr>
              <w:t>Evidence inspected</w:t>
            </w:r>
          </w:p>
        </w:tc>
        <w:tc>
          <w:tcPr>
            <w:tcW w:type="dxa" w:w="6624"/>
            <w:tcMar>
              <w:top w:w="95" w:type="dxa"/>
              <w:start w:w="95" w:type="dxa"/>
              <w:bottom w:w="95" w:type="dxa"/>
              <w:end w:w="95" w:type="dxa"/>
            </w:tcMar>
            <w:vAlign w:val="center"/>
            <w:shd w:fill="F1F5F9"/>
          </w:tcPr>
          <w:p>
            <w:pPr>
              <w:spacing w:after="20" w:line="240" w:lineRule="auto"/>
            </w:pPr>
            <w:r>
              <w:rPr>
                <w:sz w:val="16"/>
              </w:rPr>
              <w:t>Invoice  acceptance  calibration  booking  test report  other</w:t>
            </w:r>
          </w:p>
        </w:tc>
      </w:tr>
      <w:tr>
        <w:trPr>
          <w:cantSplit/>
        </w:trPr>
        <w:tc>
          <w:tcPr>
            <w:tcW w:type="dxa" w:w="3168"/>
            <w:tcMar>
              <w:top w:w="95" w:type="dxa"/>
              <w:start w:w="95" w:type="dxa"/>
              <w:bottom w:w="95" w:type="dxa"/>
              <w:end w:w="95" w:type="dxa"/>
            </w:tcMar>
            <w:vAlign w:val="center"/>
          </w:tcPr>
          <w:p>
            <w:pPr>
              <w:spacing w:after="20" w:line="240" w:lineRule="auto"/>
              <w:jc w:val="center"/>
            </w:pPr>
            <w:r>
              <w:rPr>
                <w:sz w:val="16"/>
              </w:rPr>
              <w:t>Inspector conclusion</w:t>
            </w:r>
          </w:p>
        </w:tc>
        <w:tc>
          <w:tcPr>
            <w:tcW w:type="dxa" w:w="6624"/>
            <w:tcMar>
              <w:top w:w="95" w:type="dxa"/>
              <w:start w:w="95" w:type="dxa"/>
              <w:bottom w:w="95" w:type="dxa"/>
              <w:end w:w="95" w:type="dxa"/>
            </w:tcMar>
            <w:vAlign w:val="center"/>
          </w:tcPr>
          <w:p>
            <w:pPr>
              <w:spacing w:after="20" w:line="240" w:lineRule="auto"/>
            </w:pPr>
            <w:r>
              <w:rPr>
                <w:sz w:val="16"/>
              </w:rPr>
              <w:t>Verified  Partially verified  Not verified</w:t>
            </w:r>
          </w:p>
        </w:tc>
      </w:tr>
      <w:tr>
        <w:trPr>
          <w:cantSplit/>
        </w:trPr>
        <w:tc>
          <w:tcPr>
            <w:tcW w:type="dxa" w:w="3168"/>
            <w:tcMar>
              <w:top w:w="95" w:type="dxa"/>
              <w:start w:w="95" w:type="dxa"/>
              <w:bottom w:w="95" w:type="dxa"/>
              <w:end w:w="95" w:type="dxa"/>
            </w:tcMar>
            <w:vAlign w:val="center"/>
            <w:shd w:fill="F1F5F9"/>
          </w:tcPr>
          <w:p>
            <w:pPr>
              <w:spacing w:after="20" w:line="240" w:lineRule="auto"/>
              <w:jc w:val="center"/>
            </w:pPr>
            <w:r>
              <w:rPr>
                <w:sz w:val="16"/>
              </w:rPr>
              <w:t>Open actions owner and date</w:t>
            </w:r>
          </w:p>
        </w:tc>
        <w:tc>
          <w:tcPr>
            <w:tcW w:type="dxa" w:w="6624"/>
            <w:tcMar>
              <w:top w:w="95" w:type="dxa"/>
              <w:start w:w="95" w:type="dxa"/>
              <w:bottom w:w="95" w:type="dxa"/>
              <w:end w:w="95" w:type="dxa"/>
            </w:tcMar>
            <w:vAlign w:val="center"/>
            <w:shd w:fill="F1F5F9"/>
          </w:tcPr>
          <w:p>
            <w:pPr>
              <w:spacing w:after="20" w:line="240" w:lineRule="auto"/>
            </w:pPr>
            <w:r>
              <w:rPr>
                <w:sz w:val="16"/>
              </w:rPr>
            </w:r>
          </w:p>
        </w:tc>
      </w:tr>
    </w:tbl>
    <w:p>
      <w:pPr>
        <w:spacing w:after="20"/>
      </w:pPr>
    </w:p>
    <w:p>
      <w:r>
        <w:br w:type="page"/>
      </w:r>
    </w:p>
    <w:p>
      <w:pPr>
        <w:pStyle w:val="Heading1"/>
      </w:pPr>
      <w:r>
        <w:t>7 Industry problem statement form</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97"/>
        <w:gridCol w:w="4997"/>
      </w:tblGrid>
      <w:tr>
        <w:trPr>
          <w:tblHeader w:val="true"/>
          <w:cantSplit/>
        </w:trPr>
        <w:tc>
          <w:tcPr>
            <w:tcW w:type="dxa" w:w="3384"/>
            <w:shd w:fill="203864"/>
            <w:tcMar>
              <w:top w:w="100" w:type="dxa"/>
              <w:start w:w="100" w:type="dxa"/>
              <w:bottom w:w="100" w:type="dxa"/>
              <w:end w:w="100" w:type="dxa"/>
            </w:tcMar>
            <w:vAlign w:val="center"/>
          </w:tcPr>
          <w:p>
            <w:pPr>
              <w:jc w:val="center"/>
            </w:pPr>
            <w:r>
              <w:rPr>
                <w:b/>
                <w:color w:val="FFFFFF"/>
                <w:sz w:val="16"/>
              </w:rPr>
              <w:t>Field</w:t>
            </w:r>
          </w:p>
        </w:tc>
        <w:tc>
          <w:tcPr>
            <w:tcW w:type="dxa" w:w="6408"/>
            <w:shd w:fill="203864"/>
            <w:tcMar>
              <w:top w:w="100" w:type="dxa"/>
              <w:start w:w="100" w:type="dxa"/>
              <w:bottom w:w="100" w:type="dxa"/>
              <w:end w:w="100" w:type="dxa"/>
            </w:tcMar>
            <w:vAlign w:val="center"/>
          </w:tcPr>
          <w:p>
            <w:pPr>
              <w:jc w:val="center"/>
            </w:pPr>
            <w:r>
              <w:rPr>
                <w:b/>
                <w:color w:val="FFFFFF"/>
                <w:sz w:val="16"/>
              </w:rPr>
              <w:t>Required response</w:t>
            </w:r>
          </w:p>
        </w:tc>
      </w:tr>
      <w:tr>
        <w:trPr>
          <w:cantSplit/>
        </w:trPr>
        <w:tc>
          <w:tcPr>
            <w:tcW w:type="dxa" w:w="3384"/>
            <w:tcMar>
              <w:top w:w="95" w:type="dxa"/>
              <w:start w:w="95" w:type="dxa"/>
              <w:bottom w:w="95" w:type="dxa"/>
              <w:end w:w="95" w:type="dxa"/>
            </w:tcMar>
            <w:vAlign w:val="center"/>
          </w:tcPr>
          <w:p>
            <w:pPr>
              <w:spacing w:after="20" w:line="240" w:lineRule="auto"/>
            </w:pPr>
            <w:r>
              <w:rPr>
                <w:sz w:val="16"/>
              </w:rPr>
              <w:t>Organisation and accountable owner</w:t>
            </w:r>
          </w:p>
        </w:tc>
        <w:tc>
          <w:tcPr>
            <w:tcW w:type="dxa" w:w="6408"/>
            <w:tcMar>
              <w:top w:w="95" w:type="dxa"/>
              <w:start w:w="95" w:type="dxa"/>
              <w:bottom w:w="95" w:type="dxa"/>
              <w:end w:w="95" w:type="dxa"/>
            </w:tcMar>
            <w:vAlign w:val="center"/>
          </w:tcPr>
          <w:p>
            <w:pPr>
              <w:spacing w:after="20" w:line="240" w:lineRule="auto"/>
            </w:pPr>
            <w:r>
              <w:rPr>
                <w:sz w:val="16"/>
              </w:rPr>
            </w:r>
          </w:p>
        </w:tc>
      </w:tr>
      <w:tr>
        <w:trPr>
          <w:cantSplit/>
        </w:trPr>
        <w:tc>
          <w:tcPr>
            <w:tcW w:type="dxa" w:w="3384"/>
            <w:tcMar>
              <w:top w:w="95" w:type="dxa"/>
              <w:start w:w="95" w:type="dxa"/>
              <w:bottom w:w="95" w:type="dxa"/>
              <w:end w:w="95" w:type="dxa"/>
            </w:tcMar>
            <w:vAlign w:val="center"/>
            <w:shd w:fill="F1F5F9"/>
          </w:tcPr>
          <w:p>
            <w:pPr>
              <w:spacing w:after="20" w:line="240" w:lineRule="auto"/>
              <w:jc w:val="center"/>
            </w:pPr>
            <w:r>
              <w:rPr>
                <w:sz w:val="16"/>
              </w:rPr>
              <w:t>Operational problem</w:t>
            </w:r>
          </w:p>
        </w:tc>
        <w:tc>
          <w:tcPr>
            <w:tcW w:type="dxa" w:w="6408"/>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384"/>
            <w:tcMar>
              <w:top w:w="95" w:type="dxa"/>
              <w:start w:w="95" w:type="dxa"/>
              <w:bottom w:w="95" w:type="dxa"/>
              <w:end w:w="95" w:type="dxa"/>
            </w:tcMar>
            <w:vAlign w:val="center"/>
          </w:tcPr>
          <w:p>
            <w:pPr>
              <w:spacing w:after="20" w:line="240" w:lineRule="auto"/>
              <w:jc w:val="center"/>
            </w:pPr>
            <w:r>
              <w:rPr>
                <w:sz w:val="16"/>
              </w:rPr>
              <w:t>Current system and workflow</w:t>
            </w:r>
          </w:p>
        </w:tc>
        <w:tc>
          <w:tcPr>
            <w:tcW w:type="dxa" w:w="6408"/>
            <w:tcMar>
              <w:top w:w="95" w:type="dxa"/>
              <w:start w:w="95" w:type="dxa"/>
              <w:bottom w:w="95" w:type="dxa"/>
              <w:end w:w="95" w:type="dxa"/>
            </w:tcMar>
            <w:vAlign w:val="center"/>
          </w:tcPr>
          <w:p>
            <w:pPr>
              <w:spacing w:after="20" w:line="240" w:lineRule="auto"/>
            </w:pPr>
            <w:r>
              <w:rPr>
                <w:sz w:val="16"/>
              </w:rPr>
            </w:r>
          </w:p>
        </w:tc>
      </w:tr>
      <w:tr>
        <w:trPr>
          <w:cantSplit/>
        </w:trPr>
        <w:tc>
          <w:tcPr>
            <w:tcW w:type="dxa" w:w="3384"/>
            <w:tcMar>
              <w:top w:w="95" w:type="dxa"/>
              <w:start w:w="95" w:type="dxa"/>
              <w:bottom w:w="95" w:type="dxa"/>
              <w:end w:w="95" w:type="dxa"/>
            </w:tcMar>
            <w:vAlign w:val="center"/>
            <w:shd w:fill="F1F5F9"/>
          </w:tcPr>
          <w:p>
            <w:pPr>
              <w:spacing w:after="20" w:line="240" w:lineRule="auto"/>
              <w:jc w:val="center"/>
            </w:pPr>
            <w:r>
              <w:rPr>
                <w:sz w:val="16"/>
              </w:rPr>
              <w:t>Baseline measure and period</w:t>
            </w:r>
          </w:p>
        </w:tc>
        <w:tc>
          <w:tcPr>
            <w:tcW w:type="dxa" w:w="6408"/>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384"/>
            <w:tcMar>
              <w:top w:w="95" w:type="dxa"/>
              <w:start w:w="95" w:type="dxa"/>
              <w:bottom w:w="95" w:type="dxa"/>
              <w:end w:w="95" w:type="dxa"/>
            </w:tcMar>
            <w:vAlign w:val="center"/>
          </w:tcPr>
          <w:p>
            <w:pPr>
              <w:spacing w:after="20" w:line="240" w:lineRule="auto"/>
              <w:jc w:val="center"/>
            </w:pPr>
            <w:r>
              <w:rPr>
                <w:sz w:val="16"/>
              </w:rPr>
              <w:t>Consequence if unresolved</w:t>
            </w:r>
          </w:p>
        </w:tc>
        <w:tc>
          <w:tcPr>
            <w:tcW w:type="dxa" w:w="6408"/>
            <w:tcMar>
              <w:top w:w="95" w:type="dxa"/>
              <w:start w:w="95" w:type="dxa"/>
              <w:bottom w:w="95" w:type="dxa"/>
              <w:end w:w="95" w:type="dxa"/>
            </w:tcMar>
            <w:vAlign w:val="center"/>
          </w:tcPr>
          <w:p>
            <w:pPr>
              <w:spacing w:after="20" w:line="240" w:lineRule="auto"/>
            </w:pPr>
            <w:r>
              <w:rPr>
                <w:sz w:val="16"/>
              </w:rPr>
            </w:r>
          </w:p>
        </w:tc>
      </w:tr>
      <w:tr>
        <w:trPr>
          <w:cantSplit/>
        </w:trPr>
        <w:tc>
          <w:tcPr>
            <w:tcW w:type="dxa" w:w="3384"/>
            <w:tcMar>
              <w:top w:w="95" w:type="dxa"/>
              <w:start w:w="95" w:type="dxa"/>
              <w:bottom w:w="95" w:type="dxa"/>
              <w:end w:w="95" w:type="dxa"/>
            </w:tcMar>
            <w:vAlign w:val="center"/>
            <w:shd w:fill="F1F5F9"/>
          </w:tcPr>
          <w:p>
            <w:pPr>
              <w:spacing w:after="20" w:line="240" w:lineRule="auto"/>
            </w:pPr>
            <w:r>
              <w:rPr>
                <w:sz w:val="16"/>
              </w:rPr>
              <w:t>Why quantum or quantum-inspired may be relevant</w:t>
            </w:r>
          </w:p>
        </w:tc>
        <w:tc>
          <w:tcPr>
            <w:tcW w:type="dxa" w:w="6408"/>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384"/>
            <w:tcMar>
              <w:top w:w="95" w:type="dxa"/>
              <w:start w:w="95" w:type="dxa"/>
              <w:bottom w:w="95" w:type="dxa"/>
              <w:end w:w="95" w:type="dxa"/>
            </w:tcMar>
            <w:vAlign w:val="center"/>
          </w:tcPr>
          <w:p>
            <w:pPr>
              <w:spacing w:after="20" w:line="240" w:lineRule="auto"/>
              <w:jc w:val="center"/>
            </w:pPr>
            <w:r>
              <w:rPr>
                <w:sz w:val="16"/>
              </w:rPr>
              <w:t>Strongest classical alternative</w:t>
            </w:r>
          </w:p>
        </w:tc>
        <w:tc>
          <w:tcPr>
            <w:tcW w:type="dxa" w:w="6408"/>
            <w:tcMar>
              <w:top w:w="95" w:type="dxa"/>
              <w:start w:w="95" w:type="dxa"/>
              <w:bottom w:w="95" w:type="dxa"/>
              <w:end w:w="95" w:type="dxa"/>
            </w:tcMar>
            <w:vAlign w:val="center"/>
          </w:tcPr>
          <w:p>
            <w:pPr>
              <w:spacing w:after="20" w:line="240" w:lineRule="auto"/>
            </w:pPr>
            <w:r>
              <w:rPr>
                <w:sz w:val="16"/>
              </w:rPr>
            </w:r>
          </w:p>
        </w:tc>
      </w:tr>
      <w:tr>
        <w:trPr>
          <w:cantSplit/>
        </w:trPr>
        <w:tc>
          <w:tcPr>
            <w:tcW w:type="dxa" w:w="3384"/>
            <w:tcMar>
              <w:top w:w="95" w:type="dxa"/>
              <w:start w:w="95" w:type="dxa"/>
              <w:bottom w:w="95" w:type="dxa"/>
              <w:end w:w="95" w:type="dxa"/>
            </w:tcMar>
            <w:vAlign w:val="center"/>
            <w:shd w:fill="F1F5F9"/>
          </w:tcPr>
          <w:p>
            <w:pPr>
              <w:spacing w:after="20" w:line="240" w:lineRule="auto"/>
            </w:pPr>
            <w:r>
              <w:rPr>
                <w:sz w:val="16"/>
              </w:rPr>
              <w:t>Available data sample fibre or test site</w:t>
            </w:r>
          </w:p>
        </w:tc>
        <w:tc>
          <w:tcPr>
            <w:tcW w:type="dxa" w:w="6408"/>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384"/>
            <w:tcMar>
              <w:top w:w="95" w:type="dxa"/>
              <w:start w:w="95" w:type="dxa"/>
              <w:bottom w:w="95" w:type="dxa"/>
              <w:end w:w="95" w:type="dxa"/>
            </w:tcMar>
            <w:vAlign w:val="center"/>
          </w:tcPr>
          <w:p>
            <w:pPr>
              <w:spacing w:after="20" w:line="240" w:lineRule="auto"/>
            </w:pPr>
            <w:r>
              <w:rPr>
                <w:sz w:val="16"/>
              </w:rPr>
              <w:t>Security privacy safety and export constraints</w:t>
            </w:r>
          </w:p>
        </w:tc>
        <w:tc>
          <w:tcPr>
            <w:tcW w:type="dxa" w:w="6408"/>
            <w:tcMar>
              <w:top w:w="95" w:type="dxa"/>
              <w:start w:w="95" w:type="dxa"/>
              <w:bottom w:w="95" w:type="dxa"/>
              <w:end w:w="95" w:type="dxa"/>
            </w:tcMar>
            <w:vAlign w:val="center"/>
          </w:tcPr>
          <w:p>
            <w:pPr>
              <w:spacing w:after="20" w:line="240" w:lineRule="auto"/>
            </w:pPr>
            <w:r>
              <w:rPr>
                <w:sz w:val="16"/>
              </w:rPr>
            </w:r>
          </w:p>
        </w:tc>
      </w:tr>
      <w:tr>
        <w:trPr>
          <w:cantSplit/>
        </w:trPr>
        <w:tc>
          <w:tcPr>
            <w:tcW w:type="dxa" w:w="3384"/>
            <w:tcMar>
              <w:top w:w="95" w:type="dxa"/>
              <w:start w:w="95" w:type="dxa"/>
              <w:bottom w:w="95" w:type="dxa"/>
              <w:end w:w="95" w:type="dxa"/>
            </w:tcMar>
            <w:vAlign w:val="center"/>
            <w:shd w:fill="F1F5F9"/>
          </w:tcPr>
          <w:p>
            <w:pPr>
              <w:spacing w:after="20" w:line="240" w:lineRule="auto"/>
              <w:jc w:val="center"/>
            </w:pPr>
            <w:r>
              <w:rPr>
                <w:sz w:val="16"/>
              </w:rPr>
              <w:t>User staff and co-funding</w:t>
            </w:r>
          </w:p>
        </w:tc>
        <w:tc>
          <w:tcPr>
            <w:tcW w:type="dxa" w:w="6408"/>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384"/>
            <w:tcMar>
              <w:top w:w="95" w:type="dxa"/>
              <w:start w:w="95" w:type="dxa"/>
              <w:bottom w:w="95" w:type="dxa"/>
              <w:end w:w="95" w:type="dxa"/>
            </w:tcMar>
            <w:vAlign w:val="center"/>
          </w:tcPr>
          <w:p>
            <w:pPr>
              <w:spacing w:after="20" w:line="240" w:lineRule="auto"/>
            </w:pPr>
            <w:r>
              <w:rPr>
                <w:sz w:val="16"/>
              </w:rPr>
              <w:t>Pilot duration and maximum acceptable cost</w:t>
            </w:r>
          </w:p>
        </w:tc>
        <w:tc>
          <w:tcPr>
            <w:tcW w:type="dxa" w:w="6408"/>
            <w:tcMar>
              <w:top w:w="95" w:type="dxa"/>
              <w:start w:w="95" w:type="dxa"/>
              <w:bottom w:w="95" w:type="dxa"/>
              <w:end w:w="95" w:type="dxa"/>
            </w:tcMar>
            <w:vAlign w:val="center"/>
          </w:tcPr>
          <w:p>
            <w:pPr>
              <w:spacing w:after="20" w:line="240" w:lineRule="auto"/>
            </w:pPr>
            <w:r>
              <w:rPr>
                <w:sz w:val="16"/>
              </w:rPr>
            </w:r>
          </w:p>
        </w:tc>
      </w:tr>
      <w:tr>
        <w:trPr>
          <w:cantSplit/>
        </w:trPr>
        <w:tc>
          <w:tcPr>
            <w:tcW w:type="dxa" w:w="3384"/>
            <w:tcMar>
              <w:top w:w="95" w:type="dxa"/>
              <w:start w:w="95" w:type="dxa"/>
              <w:bottom w:w="95" w:type="dxa"/>
              <w:end w:w="95" w:type="dxa"/>
            </w:tcMar>
            <w:vAlign w:val="center"/>
            <w:shd w:fill="F1F5F9"/>
          </w:tcPr>
          <w:p>
            <w:pPr>
              <w:spacing w:after="20" w:line="240" w:lineRule="auto"/>
              <w:jc w:val="center"/>
            </w:pPr>
            <w:r>
              <w:rPr>
                <w:sz w:val="16"/>
              </w:rPr>
              <w:t>Acceptance thresholds</w:t>
            </w:r>
          </w:p>
        </w:tc>
        <w:tc>
          <w:tcPr>
            <w:tcW w:type="dxa" w:w="6408"/>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384"/>
            <w:tcMar>
              <w:top w:w="95" w:type="dxa"/>
              <w:start w:w="95" w:type="dxa"/>
              <w:bottom w:w="95" w:type="dxa"/>
              <w:end w:w="95" w:type="dxa"/>
            </w:tcMar>
            <w:vAlign w:val="center"/>
          </w:tcPr>
          <w:p>
            <w:pPr>
              <w:spacing w:after="20" w:line="240" w:lineRule="auto"/>
              <w:jc w:val="center"/>
            </w:pPr>
            <w:r>
              <w:rPr>
                <w:sz w:val="16"/>
              </w:rPr>
              <w:t>Stop condition</w:t>
            </w:r>
          </w:p>
        </w:tc>
        <w:tc>
          <w:tcPr>
            <w:tcW w:type="dxa" w:w="6408"/>
            <w:tcMar>
              <w:top w:w="95" w:type="dxa"/>
              <w:start w:w="95" w:type="dxa"/>
              <w:bottom w:w="95" w:type="dxa"/>
              <w:end w:w="95" w:type="dxa"/>
            </w:tcMar>
            <w:vAlign w:val="center"/>
          </w:tcPr>
          <w:p>
            <w:pPr>
              <w:spacing w:after="20" w:line="240" w:lineRule="auto"/>
            </w:pPr>
            <w:r>
              <w:rPr>
                <w:sz w:val="16"/>
              </w:rPr>
            </w:r>
          </w:p>
        </w:tc>
      </w:tr>
      <w:tr>
        <w:trPr>
          <w:cantSplit/>
        </w:trPr>
        <w:tc>
          <w:tcPr>
            <w:tcW w:type="dxa" w:w="3384"/>
            <w:tcMar>
              <w:top w:w="95" w:type="dxa"/>
              <w:start w:w="95" w:type="dxa"/>
              <w:bottom w:w="95" w:type="dxa"/>
              <w:end w:w="95" w:type="dxa"/>
            </w:tcMar>
            <w:vAlign w:val="center"/>
            <w:shd w:fill="F1F5F9"/>
          </w:tcPr>
          <w:p>
            <w:pPr>
              <w:spacing w:after="20" w:line="240" w:lineRule="auto"/>
              <w:jc w:val="center"/>
            </w:pPr>
            <w:r>
              <w:rPr>
                <w:sz w:val="16"/>
              </w:rPr>
              <w:t>Procurement route after success</w:t>
            </w:r>
          </w:p>
        </w:tc>
        <w:tc>
          <w:tcPr>
            <w:tcW w:type="dxa" w:w="6408"/>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384"/>
            <w:tcMar>
              <w:top w:w="95" w:type="dxa"/>
              <w:start w:w="95" w:type="dxa"/>
              <w:bottom w:w="95" w:type="dxa"/>
              <w:end w:w="95" w:type="dxa"/>
            </w:tcMar>
            <w:vAlign w:val="center"/>
          </w:tcPr>
          <w:p>
            <w:pPr>
              <w:spacing w:after="20" w:line="240" w:lineRule="auto"/>
            </w:pPr>
            <w:r>
              <w:rPr>
                <w:sz w:val="16"/>
              </w:rPr>
              <w:t>Budget owner and acceptance signatory</w:t>
            </w:r>
          </w:p>
        </w:tc>
        <w:tc>
          <w:tcPr>
            <w:tcW w:type="dxa" w:w="6408"/>
            <w:tcMar>
              <w:top w:w="95" w:type="dxa"/>
              <w:start w:w="95" w:type="dxa"/>
              <w:bottom w:w="95" w:type="dxa"/>
              <w:end w:w="95" w:type="dxa"/>
            </w:tcMar>
            <w:vAlign w:val="center"/>
          </w:tcPr>
          <w:p>
            <w:pPr>
              <w:spacing w:after="20" w:line="240" w:lineRule="auto"/>
            </w:pPr>
            <w:r>
              <w:rPr>
                <w:sz w:val="16"/>
              </w:rPr>
            </w:r>
          </w:p>
        </w:tc>
      </w:tr>
      <w:tr>
        <w:trPr>
          <w:cantSplit/>
        </w:trPr>
        <w:tc>
          <w:tcPr>
            <w:tcW w:type="dxa" w:w="3384"/>
            <w:tcMar>
              <w:top w:w="95" w:type="dxa"/>
              <w:start w:w="95" w:type="dxa"/>
              <w:bottom w:w="95" w:type="dxa"/>
              <w:end w:w="95" w:type="dxa"/>
            </w:tcMar>
            <w:vAlign w:val="center"/>
            <w:shd w:fill="F1F5F9"/>
          </w:tcPr>
          <w:p>
            <w:pPr>
              <w:spacing w:after="20" w:line="240" w:lineRule="auto"/>
            </w:pPr>
            <w:r>
              <w:rPr>
                <w:sz w:val="16"/>
              </w:rPr>
              <w:t>Independent benchmarking permitted</w:t>
            </w:r>
          </w:p>
        </w:tc>
        <w:tc>
          <w:tcPr>
            <w:tcW w:type="dxa" w:w="6408"/>
            <w:tcMar>
              <w:top w:w="95" w:type="dxa"/>
              <w:start w:w="95" w:type="dxa"/>
              <w:bottom w:w="95" w:type="dxa"/>
              <w:end w:w="95" w:type="dxa"/>
            </w:tcMar>
            <w:vAlign w:val="center"/>
            <w:shd w:fill="F1F5F9"/>
          </w:tcPr>
          <w:p>
            <w:pPr>
              <w:spacing w:after="20" w:line="240" w:lineRule="auto"/>
            </w:pPr>
            <w:r>
              <w:rPr>
                <w:sz w:val="16"/>
              </w:rPr>
              <w:t>Yes  No  Conditions</w:t>
            </w:r>
          </w:p>
        </w:tc>
      </w:tr>
      <w:tr>
        <w:trPr>
          <w:cantSplit/>
        </w:trPr>
        <w:tc>
          <w:tcPr>
            <w:tcW w:type="dxa" w:w="3384"/>
            <w:tcMar>
              <w:top w:w="95" w:type="dxa"/>
              <w:start w:w="95" w:type="dxa"/>
              <w:bottom w:w="95" w:type="dxa"/>
              <w:end w:w="95" w:type="dxa"/>
            </w:tcMar>
            <w:vAlign w:val="center"/>
          </w:tcPr>
          <w:p>
            <w:pPr>
              <w:spacing w:after="20" w:line="240" w:lineRule="auto"/>
            </w:pPr>
            <w:r>
              <w:rPr>
                <w:sz w:val="16"/>
              </w:rPr>
              <w:t>Publication of negative results permitted</w:t>
            </w:r>
          </w:p>
        </w:tc>
        <w:tc>
          <w:tcPr>
            <w:tcW w:type="dxa" w:w="6408"/>
            <w:tcMar>
              <w:top w:w="95" w:type="dxa"/>
              <w:start w:w="95" w:type="dxa"/>
              <w:bottom w:w="95" w:type="dxa"/>
              <w:end w:w="95" w:type="dxa"/>
            </w:tcMar>
            <w:vAlign w:val="center"/>
          </w:tcPr>
          <w:p>
            <w:pPr>
              <w:spacing w:after="20" w:line="240" w:lineRule="auto"/>
            </w:pPr>
            <w:r>
              <w:rPr>
                <w:sz w:val="16"/>
              </w:rPr>
              <w:t>Yes  No  Conditions</w:t>
            </w:r>
          </w:p>
        </w:tc>
      </w:tr>
    </w:tbl>
    <w:p>
      <w:pPr>
        <w:spacing w:after="20"/>
      </w:pPr>
    </w:p>
    <w:p>
      <w:r>
        <w:br w:type="page"/>
      </w:r>
    </w:p>
    <w:p>
      <w:pPr>
        <w:pStyle w:val="Heading1"/>
      </w:pPr>
      <w:r>
        <w:t>8 Pilot concept form</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97"/>
        <w:gridCol w:w="4997"/>
      </w:tblGrid>
      <w:tr>
        <w:trPr>
          <w:tblHeader w:val="true"/>
          <w:cantSplit/>
        </w:trPr>
        <w:tc>
          <w:tcPr>
            <w:tcW w:type="dxa" w:w="3240"/>
            <w:shd w:fill="203864"/>
            <w:tcMar>
              <w:top w:w="100" w:type="dxa"/>
              <w:start w:w="100" w:type="dxa"/>
              <w:bottom w:w="100" w:type="dxa"/>
              <w:end w:w="100" w:type="dxa"/>
            </w:tcMar>
            <w:vAlign w:val="center"/>
          </w:tcPr>
          <w:p>
            <w:pPr>
              <w:jc w:val="center"/>
            </w:pPr>
            <w:r>
              <w:rPr>
                <w:b/>
                <w:color w:val="FFFFFF"/>
                <w:sz w:val="16"/>
              </w:rPr>
              <w:t>Field</w:t>
            </w:r>
          </w:p>
        </w:tc>
        <w:tc>
          <w:tcPr>
            <w:tcW w:type="dxa" w:w="6552"/>
            <w:shd w:fill="203864"/>
            <w:tcMar>
              <w:top w:w="100" w:type="dxa"/>
              <w:start w:w="100" w:type="dxa"/>
              <w:bottom w:w="100" w:type="dxa"/>
              <w:end w:w="100" w:type="dxa"/>
            </w:tcMar>
            <w:vAlign w:val="center"/>
          </w:tcPr>
          <w:p>
            <w:pPr>
              <w:jc w:val="center"/>
            </w:pPr>
            <w:r>
              <w:rPr>
                <w:b/>
                <w:color w:val="FFFFFF"/>
                <w:sz w:val="16"/>
              </w:rPr>
              <w:t>Response</w:t>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Pilot title</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Problem owner</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Technical lead</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NQM hub or facility partner</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Hypothesis</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Technology readiness at start</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Classical baseline</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Test data or site</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Pre-registered method</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Milestones and dates</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Security and ethics approval</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Independent reviewer</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Budget and source</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Background and foreground IP</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Acceptance threshold</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Stop condition</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Path after success</w:t>
            </w:r>
          </w:p>
        </w:tc>
        <w:tc>
          <w:tcPr>
            <w:tcW w:type="dxa" w:w="6552"/>
            <w:tcMar>
              <w:top w:w="95" w:type="dxa"/>
              <w:start w:w="95" w:type="dxa"/>
              <w:bottom w:w="95" w:type="dxa"/>
              <w:end w:w="95" w:type="dxa"/>
            </w:tcMar>
            <w:vAlign w:val="center"/>
          </w:tcPr>
          <w:p>
            <w:pPr>
              <w:spacing w:after="20" w:line="240" w:lineRule="auto"/>
            </w:pPr>
            <w:r>
              <w:rPr>
                <w:sz w:val="16"/>
              </w:rPr>
              <w:t>Procurement  research  licensing  scale-up  no further action</w:t>
            </w:r>
          </w:p>
        </w:tc>
      </w:tr>
    </w:tbl>
    <w:p>
      <w:pPr>
        <w:spacing w:after="20"/>
      </w:pPr>
    </w:p>
    <w:p>
      <w:r>
        <w:br w:type="page"/>
      </w:r>
    </w:p>
    <w:p>
      <w:pPr>
        <w:pStyle w:val="Heading1"/>
      </w:pPr>
      <w:r>
        <w:t>9 Access term sheet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97"/>
        <w:gridCol w:w="4997"/>
      </w:tblGrid>
      <w:tr>
        <w:trPr>
          <w:tblHeader w:val="true"/>
          <w:cantSplit/>
        </w:trPr>
        <w:tc>
          <w:tcPr>
            <w:tcW w:type="dxa" w:w="3528"/>
            <w:shd w:fill="203864"/>
            <w:tcMar>
              <w:top w:w="100" w:type="dxa"/>
              <w:start w:w="100" w:type="dxa"/>
              <w:bottom w:w="100" w:type="dxa"/>
              <w:end w:w="100" w:type="dxa"/>
            </w:tcMar>
            <w:vAlign w:val="center"/>
          </w:tcPr>
          <w:p>
            <w:pPr>
              <w:jc w:val="center"/>
            </w:pPr>
            <w:r>
              <w:rPr>
                <w:b/>
                <w:color w:val="FFFFFF"/>
                <w:sz w:val="16"/>
              </w:rPr>
              <w:t>Term</w:t>
            </w:r>
          </w:p>
        </w:tc>
        <w:tc>
          <w:tcPr>
            <w:tcW w:type="dxa" w:w="6264"/>
            <w:shd w:fill="203864"/>
            <w:tcMar>
              <w:top w:w="100" w:type="dxa"/>
              <w:start w:w="100" w:type="dxa"/>
              <w:bottom w:w="100" w:type="dxa"/>
              <w:end w:w="100" w:type="dxa"/>
            </w:tcMar>
            <w:vAlign w:val="center"/>
          </w:tcPr>
          <w:p>
            <w:pPr>
              <w:jc w:val="center"/>
            </w:pPr>
            <w:r>
              <w:rPr>
                <w:b/>
                <w:color w:val="FFFFFF"/>
                <w:sz w:val="16"/>
              </w:rPr>
              <w:t>Agreed position or open issue</w:t>
            </w:r>
          </w:p>
        </w:tc>
      </w:tr>
      <w:tr>
        <w:trPr>
          <w:cantSplit/>
        </w:trPr>
        <w:tc>
          <w:tcPr>
            <w:tcW w:type="dxa" w:w="3528"/>
            <w:tcMar>
              <w:top w:w="95" w:type="dxa"/>
              <w:start w:w="95" w:type="dxa"/>
              <w:bottom w:w="95" w:type="dxa"/>
              <w:end w:w="95" w:type="dxa"/>
            </w:tcMar>
            <w:vAlign w:val="center"/>
          </w:tcPr>
          <w:p>
            <w:pPr>
              <w:spacing w:after="20" w:line="240" w:lineRule="auto"/>
            </w:pPr>
            <w:r>
              <w:rPr>
                <w:sz w:val="16"/>
              </w:rPr>
              <w:t>Legal applicant and authorised signatories</w:t>
            </w:r>
          </w:p>
        </w:tc>
        <w:tc>
          <w:tcPr>
            <w:tcW w:type="dxa" w:w="6264"/>
            <w:tcMar>
              <w:top w:w="95" w:type="dxa"/>
              <w:start w:w="95" w:type="dxa"/>
              <w:bottom w:w="95" w:type="dxa"/>
              <w:end w:w="95" w:type="dxa"/>
            </w:tcMar>
            <w:vAlign w:val="center"/>
          </w:tcPr>
          <w:p>
            <w:pPr>
              <w:spacing w:after="20" w:line="240" w:lineRule="auto"/>
            </w:pPr>
            <w:r>
              <w:rPr>
                <w:sz w:val="16"/>
              </w:rPr>
            </w:r>
          </w:p>
        </w:tc>
      </w:tr>
      <w:tr>
        <w:trPr>
          <w:cantSplit/>
        </w:trPr>
        <w:tc>
          <w:tcPr>
            <w:tcW w:type="dxa" w:w="3528"/>
            <w:tcMar>
              <w:top w:w="95" w:type="dxa"/>
              <w:start w:w="95" w:type="dxa"/>
              <w:bottom w:w="95" w:type="dxa"/>
              <w:end w:w="95" w:type="dxa"/>
            </w:tcMar>
            <w:vAlign w:val="center"/>
            <w:shd w:fill="F1F5F9"/>
          </w:tcPr>
          <w:p>
            <w:pPr>
              <w:spacing w:after="20" w:line="240" w:lineRule="auto"/>
            </w:pPr>
            <w:r>
              <w:rPr>
                <w:sz w:val="16"/>
              </w:rPr>
              <w:t>Named work package and deliverables</w:t>
            </w:r>
          </w:p>
        </w:tc>
        <w:tc>
          <w:tcPr>
            <w:tcW w:type="dxa" w:w="626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528"/>
            <w:tcMar>
              <w:top w:w="95" w:type="dxa"/>
              <w:start w:w="95" w:type="dxa"/>
              <w:bottom w:w="95" w:type="dxa"/>
              <w:end w:w="95" w:type="dxa"/>
            </w:tcMar>
            <w:vAlign w:val="center"/>
          </w:tcPr>
          <w:p>
            <w:pPr>
              <w:spacing w:after="20" w:line="240" w:lineRule="auto"/>
              <w:jc w:val="center"/>
            </w:pPr>
            <w:r>
              <w:rPr>
                <w:sz w:val="16"/>
              </w:rPr>
              <w:t>Milestones TRL and acceptance</w:t>
            </w:r>
          </w:p>
        </w:tc>
        <w:tc>
          <w:tcPr>
            <w:tcW w:type="dxa" w:w="6264"/>
            <w:tcMar>
              <w:top w:w="95" w:type="dxa"/>
              <w:start w:w="95" w:type="dxa"/>
              <w:bottom w:w="95" w:type="dxa"/>
              <w:end w:w="95" w:type="dxa"/>
            </w:tcMar>
            <w:vAlign w:val="center"/>
          </w:tcPr>
          <w:p>
            <w:pPr>
              <w:spacing w:after="20" w:line="240" w:lineRule="auto"/>
            </w:pPr>
            <w:r>
              <w:rPr>
                <w:sz w:val="16"/>
              </w:rPr>
            </w:r>
          </w:p>
        </w:tc>
      </w:tr>
      <w:tr>
        <w:trPr>
          <w:cantSplit/>
        </w:trPr>
        <w:tc>
          <w:tcPr>
            <w:tcW w:type="dxa" w:w="3528"/>
            <w:tcMar>
              <w:top w:w="95" w:type="dxa"/>
              <w:start w:w="95" w:type="dxa"/>
              <w:bottom w:w="95" w:type="dxa"/>
              <w:end w:w="95" w:type="dxa"/>
            </w:tcMar>
            <w:vAlign w:val="center"/>
            <w:shd w:fill="F1F5F9"/>
          </w:tcPr>
          <w:p>
            <w:pPr>
              <w:spacing w:after="20" w:line="240" w:lineRule="auto"/>
            </w:pPr>
            <w:r>
              <w:rPr>
                <w:sz w:val="16"/>
              </w:rPr>
              <w:t>Facility access hours queue and operator support</w:t>
            </w:r>
          </w:p>
        </w:tc>
        <w:tc>
          <w:tcPr>
            <w:tcW w:type="dxa" w:w="626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528"/>
            <w:tcMar>
              <w:top w:w="95" w:type="dxa"/>
              <w:start w:w="95" w:type="dxa"/>
              <w:bottom w:w="95" w:type="dxa"/>
              <w:end w:w="95" w:type="dxa"/>
            </w:tcMar>
            <w:vAlign w:val="center"/>
          </w:tcPr>
          <w:p>
            <w:pPr>
              <w:spacing w:after="20" w:line="240" w:lineRule="auto"/>
            </w:pPr>
            <w:r>
              <w:rPr>
                <w:sz w:val="16"/>
              </w:rPr>
              <w:t>Tariff co-funding consumables travel and taxes</w:t>
            </w:r>
          </w:p>
        </w:tc>
        <w:tc>
          <w:tcPr>
            <w:tcW w:type="dxa" w:w="6264"/>
            <w:tcMar>
              <w:top w:w="95" w:type="dxa"/>
              <w:start w:w="95" w:type="dxa"/>
              <w:bottom w:w="95" w:type="dxa"/>
              <w:end w:w="95" w:type="dxa"/>
            </w:tcMar>
            <w:vAlign w:val="center"/>
          </w:tcPr>
          <w:p>
            <w:pPr>
              <w:spacing w:after="20" w:line="240" w:lineRule="auto"/>
            </w:pPr>
            <w:r>
              <w:rPr>
                <w:sz w:val="16"/>
              </w:rPr>
            </w:r>
          </w:p>
        </w:tc>
      </w:tr>
      <w:tr>
        <w:trPr>
          <w:cantSplit/>
        </w:trPr>
        <w:tc>
          <w:tcPr>
            <w:tcW w:type="dxa" w:w="3528"/>
            <w:tcMar>
              <w:top w:w="95" w:type="dxa"/>
              <w:start w:w="95" w:type="dxa"/>
              <w:bottom w:w="95" w:type="dxa"/>
              <w:end w:w="95" w:type="dxa"/>
            </w:tcMar>
            <w:vAlign w:val="center"/>
            <w:shd w:fill="F1F5F9"/>
          </w:tcPr>
          <w:p>
            <w:pPr>
              <w:spacing w:after="20" w:line="240" w:lineRule="auto"/>
            </w:pPr>
            <w:r>
              <w:rPr>
                <w:sz w:val="16"/>
              </w:rPr>
              <w:t>Equipment ownership maintenance and liability</w:t>
            </w:r>
          </w:p>
        </w:tc>
        <w:tc>
          <w:tcPr>
            <w:tcW w:type="dxa" w:w="626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528"/>
            <w:tcMar>
              <w:top w:w="95" w:type="dxa"/>
              <w:start w:w="95" w:type="dxa"/>
              <w:bottom w:w="95" w:type="dxa"/>
              <w:end w:w="95" w:type="dxa"/>
            </w:tcMar>
            <w:vAlign w:val="center"/>
          </w:tcPr>
          <w:p>
            <w:pPr>
              <w:spacing w:after="20" w:line="240" w:lineRule="auto"/>
              <w:jc w:val="center"/>
            </w:pPr>
            <w:r>
              <w:rPr>
                <w:sz w:val="16"/>
              </w:rPr>
              <w:t>Background IP</w:t>
            </w:r>
          </w:p>
        </w:tc>
        <w:tc>
          <w:tcPr>
            <w:tcW w:type="dxa" w:w="6264"/>
            <w:tcMar>
              <w:top w:w="95" w:type="dxa"/>
              <w:start w:w="95" w:type="dxa"/>
              <w:bottom w:w="95" w:type="dxa"/>
              <w:end w:w="95" w:type="dxa"/>
            </w:tcMar>
            <w:vAlign w:val="center"/>
          </w:tcPr>
          <w:p>
            <w:pPr>
              <w:spacing w:after="20" w:line="240" w:lineRule="auto"/>
            </w:pPr>
            <w:r>
              <w:rPr>
                <w:sz w:val="16"/>
              </w:rPr>
            </w:r>
          </w:p>
        </w:tc>
      </w:tr>
      <w:tr>
        <w:trPr>
          <w:cantSplit/>
        </w:trPr>
        <w:tc>
          <w:tcPr>
            <w:tcW w:type="dxa" w:w="3528"/>
            <w:tcMar>
              <w:top w:w="95" w:type="dxa"/>
              <w:start w:w="95" w:type="dxa"/>
              <w:bottom w:w="95" w:type="dxa"/>
              <w:end w:w="95" w:type="dxa"/>
            </w:tcMar>
            <w:vAlign w:val="center"/>
            <w:shd w:fill="F1F5F9"/>
          </w:tcPr>
          <w:p>
            <w:pPr>
              <w:spacing w:after="20" w:line="240" w:lineRule="auto"/>
            </w:pPr>
            <w:r>
              <w:rPr>
                <w:sz w:val="16"/>
              </w:rPr>
              <w:t>Foreground IP joint ownership and licensing</w:t>
            </w:r>
          </w:p>
        </w:tc>
        <w:tc>
          <w:tcPr>
            <w:tcW w:type="dxa" w:w="626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528"/>
            <w:tcMar>
              <w:top w:w="95" w:type="dxa"/>
              <w:start w:w="95" w:type="dxa"/>
              <w:bottom w:w="95" w:type="dxa"/>
              <w:end w:w="95" w:type="dxa"/>
            </w:tcMar>
            <w:vAlign w:val="center"/>
          </w:tcPr>
          <w:p>
            <w:pPr>
              <w:spacing w:after="20" w:line="240" w:lineRule="auto"/>
            </w:pPr>
            <w:r>
              <w:rPr>
                <w:sz w:val="16"/>
              </w:rPr>
              <w:t>Equity CCPS incubation fee or revenue share</w:t>
            </w:r>
          </w:p>
        </w:tc>
        <w:tc>
          <w:tcPr>
            <w:tcW w:type="dxa" w:w="6264"/>
            <w:tcMar>
              <w:top w:w="95" w:type="dxa"/>
              <w:start w:w="95" w:type="dxa"/>
              <w:bottom w:w="95" w:type="dxa"/>
              <w:end w:w="95" w:type="dxa"/>
            </w:tcMar>
            <w:vAlign w:val="center"/>
          </w:tcPr>
          <w:p>
            <w:pPr>
              <w:spacing w:after="20" w:line="240" w:lineRule="auto"/>
            </w:pPr>
            <w:r>
              <w:rPr>
                <w:sz w:val="16"/>
              </w:rPr>
            </w:r>
          </w:p>
        </w:tc>
      </w:tr>
      <w:tr>
        <w:trPr>
          <w:cantSplit/>
        </w:trPr>
        <w:tc>
          <w:tcPr>
            <w:tcW w:type="dxa" w:w="3528"/>
            <w:tcMar>
              <w:top w:w="95" w:type="dxa"/>
              <w:start w:w="95" w:type="dxa"/>
              <w:bottom w:w="95" w:type="dxa"/>
              <w:end w:w="95" w:type="dxa"/>
            </w:tcMar>
            <w:vAlign w:val="center"/>
            <w:shd w:fill="F1F5F9"/>
          </w:tcPr>
          <w:p>
            <w:pPr>
              <w:spacing w:after="20" w:line="240" w:lineRule="auto"/>
            </w:pPr>
            <w:r>
              <w:rPr>
                <w:sz w:val="16"/>
              </w:rPr>
              <w:t>Confidentiality and publication review</w:t>
            </w:r>
          </w:p>
        </w:tc>
        <w:tc>
          <w:tcPr>
            <w:tcW w:type="dxa" w:w="626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528"/>
            <w:tcMar>
              <w:top w:w="95" w:type="dxa"/>
              <w:start w:w="95" w:type="dxa"/>
              <w:bottom w:w="95" w:type="dxa"/>
              <w:end w:w="95" w:type="dxa"/>
            </w:tcMar>
            <w:vAlign w:val="center"/>
          </w:tcPr>
          <w:p>
            <w:pPr>
              <w:spacing w:after="20" w:line="240" w:lineRule="auto"/>
            </w:pPr>
            <w:r>
              <w:rPr>
                <w:sz w:val="16"/>
              </w:rPr>
              <w:t>Data residency cybersecurity and critical infrastructure</w:t>
            </w:r>
          </w:p>
        </w:tc>
        <w:tc>
          <w:tcPr>
            <w:tcW w:type="dxa" w:w="6264"/>
            <w:tcMar>
              <w:top w:w="95" w:type="dxa"/>
              <w:start w:w="95" w:type="dxa"/>
              <w:bottom w:w="95" w:type="dxa"/>
              <w:end w:w="95" w:type="dxa"/>
            </w:tcMar>
            <w:vAlign w:val="center"/>
          </w:tcPr>
          <w:p>
            <w:pPr>
              <w:spacing w:after="20" w:line="240" w:lineRule="auto"/>
            </w:pPr>
            <w:r>
              <w:rPr>
                <w:sz w:val="16"/>
              </w:rPr>
            </w:r>
          </w:p>
        </w:tc>
      </w:tr>
      <w:tr>
        <w:trPr>
          <w:cantSplit/>
        </w:trPr>
        <w:tc>
          <w:tcPr>
            <w:tcW w:type="dxa" w:w="3528"/>
            <w:tcMar>
              <w:top w:w="95" w:type="dxa"/>
              <w:start w:w="95" w:type="dxa"/>
              <w:bottom w:w="95" w:type="dxa"/>
              <w:end w:w="95" w:type="dxa"/>
            </w:tcMar>
            <w:vAlign w:val="center"/>
            <w:shd w:fill="F1F5F9"/>
          </w:tcPr>
          <w:p>
            <w:pPr>
              <w:spacing w:after="20" w:line="240" w:lineRule="auto"/>
            </w:pPr>
            <w:r>
              <w:rPr>
                <w:sz w:val="16"/>
              </w:rPr>
              <w:t>Export control and foreign participation</w:t>
            </w:r>
          </w:p>
        </w:tc>
        <w:tc>
          <w:tcPr>
            <w:tcW w:type="dxa" w:w="626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528"/>
            <w:tcMar>
              <w:top w:w="95" w:type="dxa"/>
              <w:start w:w="95" w:type="dxa"/>
              <w:bottom w:w="95" w:type="dxa"/>
              <w:end w:w="95" w:type="dxa"/>
            </w:tcMar>
            <w:vAlign w:val="center"/>
          </w:tcPr>
          <w:p>
            <w:pPr>
              <w:spacing w:after="20" w:line="240" w:lineRule="auto"/>
            </w:pPr>
            <w:r>
              <w:rPr>
                <w:sz w:val="16"/>
              </w:rPr>
              <w:t>Procurement neutrality and conflicts</w:t>
            </w:r>
          </w:p>
        </w:tc>
        <w:tc>
          <w:tcPr>
            <w:tcW w:type="dxa" w:w="6264"/>
            <w:tcMar>
              <w:top w:w="95" w:type="dxa"/>
              <w:start w:w="95" w:type="dxa"/>
              <w:bottom w:w="95" w:type="dxa"/>
              <w:end w:w="95" w:type="dxa"/>
            </w:tcMar>
            <w:vAlign w:val="center"/>
          </w:tcPr>
          <w:p>
            <w:pPr>
              <w:spacing w:after="20" w:line="240" w:lineRule="auto"/>
            </w:pPr>
            <w:r>
              <w:rPr>
                <w:sz w:val="16"/>
              </w:rPr>
            </w:r>
          </w:p>
        </w:tc>
      </w:tr>
      <w:tr>
        <w:trPr>
          <w:cantSplit/>
        </w:trPr>
        <w:tc>
          <w:tcPr>
            <w:tcW w:type="dxa" w:w="3528"/>
            <w:tcMar>
              <w:top w:w="95" w:type="dxa"/>
              <w:start w:w="95" w:type="dxa"/>
              <w:bottom w:w="95" w:type="dxa"/>
              <w:end w:w="95" w:type="dxa"/>
            </w:tcMar>
            <w:vAlign w:val="center"/>
            <w:shd w:fill="F1F5F9"/>
          </w:tcPr>
          <w:p>
            <w:pPr>
              <w:spacing w:after="20" w:line="240" w:lineRule="auto"/>
              <w:jc w:val="center"/>
            </w:pPr>
            <w:r>
              <w:rPr>
                <w:sz w:val="16"/>
              </w:rPr>
              <w:t>Independent validation</w:t>
            </w:r>
          </w:p>
        </w:tc>
        <w:tc>
          <w:tcPr>
            <w:tcW w:type="dxa" w:w="6264"/>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528"/>
            <w:tcMar>
              <w:top w:w="95" w:type="dxa"/>
              <w:start w:w="95" w:type="dxa"/>
              <w:bottom w:w="95" w:type="dxa"/>
              <w:end w:w="95" w:type="dxa"/>
            </w:tcMar>
            <w:vAlign w:val="center"/>
          </w:tcPr>
          <w:p>
            <w:pPr>
              <w:spacing w:after="20" w:line="240" w:lineRule="auto"/>
            </w:pPr>
            <w:r>
              <w:rPr>
                <w:sz w:val="16"/>
              </w:rPr>
              <w:t>Termination negative results and asset disposition</w:t>
            </w:r>
          </w:p>
        </w:tc>
        <w:tc>
          <w:tcPr>
            <w:tcW w:type="dxa" w:w="6264"/>
            <w:tcMar>
              <w:top w:w="95" w:type="dxa"/>
              <w:start w:w="95" w:type="dxa"/>
              <w:bottom w:w="95" w:type="dxa"/>
              <w:end w:w="95" w:type="dxa"/>
            </w:tcMar>
            <w:vAlign w:val="center"/>
          </w:tcPr>
          <w:p>
            <w:pPr>
              <w:spacing w:after="20" w:line="240" w:lineRule="auto"/>
            </w:pPr>
            <w:r>
              <w:rPr>
                <w:sz w:val="16"/>
              </w:rPr>
            </w:r>
          </w:p>
        </w:tc>
      </w:tr>
      <w:tr>
        <w:trPr>
          <w:cantSplit/>
        </w:trPr>
        <w:tc>
          <w:tcPr>
            <w:tcW w:type="dxa" w:w="3528"/>
            <w:tcMar>
              <w:top w:w="95" w:type="dxa"/>
              <w:start w:w="95" w:type="dxa"/>
              <w:bottom w:w="95" w:type="dxa"/>
              <w:end w:w="95" w:type="dxa"/>
            </w:tcMar>
            <w:vAlign w:val="center"/>
            <w:shd w:fill="F1F5F9"/>
          </w:tcPr>
          <w:p>
            <w:pPr>
              <w:spacing w:after="20" w:line="240" w:lineRule="auto"/>
            </w:pPr>
            <w:r>
              <w:rPr>
                <w:sz w:val="16"/>
              </w:rPr>
              <w:t>Reporting audit and dispute resolution</w:t>
            </w:r>
          </w:p>
        </w:tc>
        <w:tc>
          <w:tcPr>
            <w:tcW w:type="dxa" w:w="6264"/>
            <w:tcMar>
              <w:top w:w="95" w:type="dxa"/>
              <w:start w:w="95" w:type="dxa"/>
              <w:bottom w:w="95" w:type="dxa"/>
              <w:end w:w="95" w:type="dxa"/>
            </w:tcMar>
            <w:vAlign w:val="center"/>
            <w:shd w:fill="F1F5F9"/>
          </w:tcPr>
          <w:p>
            <w:pPr>
              <w:spacing w:after="20" w:line="240" w:lineRule="auto"/>
            </w:pPr>
            <w:r>
              <w:rPr>
                <w:sz w:val="16"/>
              </w:rPr>
            </w:r>
          </w:p>
        </w:tc>
      </w:tr>
    </w:tbl>
    <w:p>
      <w:pPr>
        <w:spacing w:after="20"/>
      </w:pPr>
    </w:p>
    <w:p>
      <w:r>
        <w:br w:type="page"/>
      </w:r>
    </w:p>
    <w:p>
      <w:pPr>
        <w:pStyle w:val="Heading1"/>
      </w:pPr>
      <w:r>
        <w:t>10 Meeting record and evidence log</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97"/>
        <w:gridCol w:w="4997"/>
      </w:tblGrid>
      <w:tr>
        <w:trPr>
          <w:tblHeader w:val="true"/>
          <w:cantSplit/>
        </w:trPr>
        <w:tc>
          <w:tcPr>
            <w:tcW w:type="dxa" w:w="3240"/>
            <w:shd w:fill="203864"/>
            <w:tcMar>
              <w:top w:w="100" w:type="dxa"/>
              <w:start w:w="100" w:type="dxa"/>
              <w:bottom w:w="100" w:type="dxa"/>
              <w:end w:w="100" w:type="dxa"/>
            </w:tcMar>
            <w:vAlign w:val="center"/>
          </w:tcPr>
          <w:p>
            <w:pPr>
              <w:jc w:val="center"/>
            </w:pPr>
            <w:r>
              <w:rPr>
                <w:b/>
                <w:color w:val="FFFFFF"/>
                <w:sz w:val="16"/>
              </w:rPr>
              <w:t>Field</w:t>
            </w:r>
          </w:p>
        </w:tc>
        <w:tc>
          <w:tcPr>
            <w:tcW w:type="dxa" w:w="6552"/>
            <w:shd w:fill="203864"/>
            <w:tcMar>
              <w:top w:w="100" w:type="dxa"/>
              <w:start w:w="100" w:type="dxa"/>
              <w:bottom w:w="100" w:type="dxa"/>
              <w:end w:w="100" w:type="dxa"/>
            </w:tcMar>
            <w:vAlign w:val="center"/>
          </w:tcPr>
          <w:p>
            <w:pPr>
              <w:jc w:val="center"/>
            </w:pPr>
            <w:r>
              <w:rPr>
                <w:b/>
                <w:color w:val="FFFFFF"/>
                <w:sz w:val="16"/>
              </w:rPr>
              <w:t>Record</w:t>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Meeting</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Date venue and participants</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Authority and purpose</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Documents received</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Claims confirmed</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Claims corrected or withdrawn</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Restricted evidence location</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Decisions</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Actions owner and due date</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Unresolved questions</w:t>
            </w:r>
          </w:p>
        </w:tc>
        <w:tc>
          <w:tcPr>
            <w:tcW w:type="dxa" w:w="6552"/>
            <w:tcMar>
              <w:top w:w="95" w:type="dxa"/>
              <w:start w:w="95" w:type="dxa"/>
              <w:bottom w:w="95" w:type="dxa"/>
              <w:end w:w="95" w:type="dxa"/>
            </w:tcMar>
            <w:vAlign w:val="center"/>
            <w:shd w:fill="F1F5F9"/>
          </w:tcPr>
          <w:p>
            <w:pPr>
              <w:spacing w:after="20" w:line="240" w:lineRule="auto"/>
            </w:pPr>
            <w:r>
              <w:rPr>
                <w:sz w:val="16"/>
              </w:rPr>
            </w:r>
          </w:p>
        </w:tc>
      </w:tr>
      <w:tr>
        <w:trPr>
          <w:cantSplit/>
        </w:trPr>
        <w:tc>
          <w:tcPr>
            <w:tcW w:type="dxa" w:w="3240"/>
            <w:tcMar>
              <w:top w:w="95" w:type="dxa"/>
              <w:start w:w="95" w:type="dxa"/>
              <w:bottom w:w="95" w:type="dxa"/>
              <w:end w:w="95" w:type="dxa"/>
            </w:tcMar>
            <w:vAlign w:val="center"/>
          </w:tcPr>
          <w:p>
            <w:pPr>
              <w:spacing w:after="20" w:line="240" w:lineRule="auto"/>
              <w:jc w:val="center"/>
            </w:pPr>
            <w:r>
              <w:rPr>
                <w:sz w:val="16"/>
              </w:rPr>
              <w:t>Next meeting</w:t>
            </w:r>
          </w:p>
        </w:tc>
        <w:tc>
          <w:tcPr>
            <w:tcW w:type="dxa" w:w="6552"/>
            <w:tcMar>
              <w:top w:w="95" w:type="dxa"/>
              <w:start w:w="95" w:type="dxa"/>
              <w:bottom w:w="95" w:type="dxa"/>
              <w:end w:w="95" w:type="dxa"/>
            </w:tcMar>
            <w:vAlign w:val="center"/>
          </w:tcPr>
          <w:p>
            <w:pPr>
              <w:spacing w:after="20" w:line="240" w:lineRule="auto"/>
            </w:pPr>
            <w:r>
              <w:rPr>
                <w:sz w:val="16"/>
              </w:rPr>
            </w:r>
          </w:p>
        </w:tc>
      </w:tr>
      <w:tr>
        <w:trPr>
          <w:cantSplit/>
        </w:trPr>
        <w:tc>
          <w:tcPr>
            <w:tcW w:type="dxa" w:w="3240"/>
            <w:tcMar>
              <w:top w:w="95" w:type="dxa"/>
              <w:start w:w="95" w:type="dxa"/>
              <w:bottom w:w="95" w:type="dxa"/>
              <w:end w:w="95" w:type="dxa"/>
            </w:tcMar>
            <w:vAlign w:val="center"/>
            <w:shd w:fill="F1F5F9"/>
          </w:tcPr>
          <w:p>
            <w:pPr>
              <w:spacing w:after="20" w:line="240" w:lineRule="auto"/>
              <w:jc w:val="center"/>
            </w:pPr>
            <w:r>
              <w:rPr>
                <w:sz w:val="16"/>
              </w:rPr>
              <w:t>Recorder and approver</w:t>
            </w:r>
          </w:p>
        </w:tc>
        <w:tc>
          <w:tcPr>
            <w:tcW w:type="dxa" w:w="6552"/>
            <w:tcMar>
              <w:top w:w="95" w:type="dxa"/>
              <w:start w:w="95" w:type="dxa"/>
              <w:bottom w:w="95" w:type="dxa"/>
              <w:end w:w="95" w:type="dxa"/>
            </w:tcMar>
            <w:vAlign w:val="center"/>
            <w:shd w:fill="F1F5F9"/>
          </w:tcPr>
          <w:p>
            <w:pPr>
              <w:spacing w:after="20" w:line="240" w:lineRule="auto"/>
            </w:pPr>
            <w:r>
              <w:rPr>
                <w:sz w:val="16"/>
              </w:rPr>
            </w:r>
          </w:p>
        </w:tc>
      </w:tr>
    </w:tbl>
    <w:p>
      <w:pPr>
        <w:spacing w:after="20"/>
      </w:pPr>
    </w:p>
    <w:p>
      <w:pPr>
        <w:pStyle w:val="Heading2"/>
      </w:pPr>
      <w:r>
        <w:t>Evidence attachment register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66"/>
        <w:gridCol w:w="1666"/>
        <w:gridCol w:w="1666"/>
        <w:gridCol w:w="1666"/>
        <w:gridCol w:w="1666"/>
        <w:gridCol w:w="1666"/>
      </w:tblGrid>
      <w:tr>
        <w:trPr>
          <w:tblHeader w:val="true"/>
          <w:cantSplit/>
        </w:trPr>
        <w:tc>
          <w:tcPr>
            <w:tcW w:type="dxa" w:w="792"/>
            <w:shd w:fill="203864"/>
            <w:tcMar>
              <w:top w:w="100" w:type="dxa"/>
              <w:start w:w="100" w:type="dxa"/>
              <w:bottom w:w="100" w:type="dxa"/>
              <w:end w:w="100" w:type="dxa"/>
            </w:tcMar>
            <w:vAlign w:val="center"/>
          </w:tcPr>
          <w:p>
            <w:pPr>
              <w:jc w:val="center"/>
            </w:pPr>
            <w:r>
              <w:rPr>
                <w:b/>
                <w:color w:val="FFFFFF"/>
                <w:sz w:val="14"/>
              </w:rPr>
              <w:t>ID</w:t>
            </w:r>
          </w:p>
        </w:tc>
        <w:tc>
          <w:tcPr>
            <w:tcW w:type="dxa" w:w="3600"/>
            <w:shd w:fill="203864"/>
            <w:tcMar>
              <w:top w:w="100" w:type="dxa"/>
              <w:start w:w="100" w:type="dxa"/>
              <w:bottom w:w="100" w:type="dxa"/>
              <w:end w:w="100" w:type="dxa"/>
            </w:tcMar>
            <w:vAlign w:val="center"/>
          </w:tcPr>
          <w:p>
            <w:pPr>
              <w:jc w:val="center"/>
            </w:pPr>
            <w:r>
              <w:rPr>
                <w:b/>
                <w:color w:val="FFFFFF"/>
                <w:sz w:val="14"/>
              </w:rPr>
              <w:t>Document or record</w:t>
            </w:r>
          </w:p>
        </w:tc>
        <w:tc>
          <w:tcPr>
            <w:tcW w:type="dxa" w:w="1800"/>
            <w:shd w:fill="203864"/>
            <w:tcMar>
              <w:top w:w="100" w:type="dxa"/>
              <w:start w:w="100" w:type="dxa"/>
              <w:bottom w:w="100" w:type="dxa"/>
              <w:end w:w="100" w:type="dxa"/>
            </w:tcMar>
            <w:vAlign w:val="center"/>
          </w:tcPr>
          <w:p>
            <w:pPr>
              <w:jc w:val="center"/>
            </w:pPr>
            <w:r>
              <w:rPr>
                <w:b/>
                <w:color w:val="FFFFFF"/>
                <w:sz w:val="14"/>
              </w:rPr>
              <w:t>Source owner</w:t>
            </w:r>
          </w:p>
        </w:tc>
        <w:tc>
          <w:tcPr>
            <w:tcW w:type="dxa" w:w="1152"/>
            <w:shd w:fill="203864"/>
            <w:tcMar>
              <w:top w:w="100" w:type="dxa"/>
              <w:start w:w="100" w:type="dxa"/>
              <w:bottom w:w="100" w:type="dxa"/>
              <w:end w:w="100" w:type="dxa"/>
            </w:tcMar>
            <w:vAlign w:val="center"/>
          </w:tcPr>
          <w:p>
            <w:pPr>
              <w:jc w:val="center"/>
            </w:pPr>
            <w:r>
              <w:rPr>
                <w:b/>
                <w:color w:val="FFFFFF"/>
                <w:sz w:val="14"/>
              </w:rPr>
              <w:t>Date</w:t>
            </w:r>
          </w:p>
        </w:tc>
        <w:tc>
          <w:tcPr>
            <w:tcW w:type="dxa" w:w="1584"/>
            <w:shd w:fill="203864"/>
            <w:tcMar>
              <w:top w:w="100" w:type="dxa"/>
              <w:start w:w="100" w:type="dxa"/>
              <w:bottom w:w="100" w:type="dxa"/>
              <w:end w:w="100" w:type="dxa"/>
            </w:tcMar>
            <w:vAlign w:val="center"/>
          </w:tcPr>
          <w:p>
            <w:pPr>
              <w:jc w:val="center"/>
            </w:pPr>
            <w:r>
              <w:rPr>
                <w:b/>
                <w:color w:val="FFFFFF"/>
                <w:sz w:val="14"/>
              </w:rPr>
              <w:t>Classification</w:t>
            </w:r>
          </w:p>
        </w:tc>
        <w:tc>
          <w:tcPr>
            <w:tcW w:type="dxa" w:w="1152"/>
            <w:shd w:fill="203864"/>
            <w:tcMar>
              <w:top w:w="100" w:type="dxa"/>
              <w:start w:w="100" w:type="dxa"/>
              <w:bottom w:w="100" w:type="dxa"/>
              <w:end w:w="100" w:type="dxa"/>
            </w:tcMar>
            <w:vAlign w:val="center"/>
          </w:tcPr>
          <w:p>
            <w:pPr>
              <w:jc w:val="center"/>
            </w:pPr>
            <w:r>
              <w:rPr>
                <w:b/>
                <w:color w:val="FFFFFF"/>
                <w:sz w:val="14"/>
              </w:rPr>
              <w:t>Verified by</w:t>
            </w:r>
          </w:p>
        </w:tc>
      </w:tr>
      <w:tr>
        <w:trPr>
          <w:cantSplit/>
        </w:trPr>
        <w:tc>
          <w:tcPr>
            <w:tcW w:type="dxa" w:w="792"/>
            <w:tcMar>
              <w:top w:w="95" w:type="dxa"/>
              <w:start w:w="95" w:type="dxa"/>
              <w:bottom w:w="95" w:type="dxa"/>
              <w:end w:w="95" w:type="dxa"/>
            </w:tcMar>
            <w:vAlign w:val="center"/>
          </w:tcPr>
          <w:p>
            <w:pPr>
              <w:spacing w:after="20" w:line="240" w:lineRule="auto"/>
              <w:jc w:val="center"/>
            </w:pPr>
            <w:r>
              <w:rPr>
                <w:sz w:val="14"/>
              </w:rPr>
            </w:r>
          </w:p>
        </w:tc>
        <w:tc>
          <w:tcPr>
            <w:tcW w:type="dxa" w:w="3600"/>
            <w:tcMar>
              <w:top w:w="95" w:type="dxa"/>
              <w:start w:w="95" w:type="dxa"/>
              <w:bottom w:w="95" w:type="dxa"/>
              <w:end w:w="95" w:type="dxa"/>
            </w:tcMar>
            <w:vAlign w:val="center"/>
          </w:tcPr>
          <w:p>
            <w:pPr>
              <w:spacing w:after="20" w:line="240" w:lineRule="auto"/>
            </w:pPr>
            <w:r>
              <w:rPr>
                <w:sz w:val="14"/>
              </w:rPr>
            </w:r>
          </w:p>
        </w:tc>
        <w:tc>
          <w:tcPr>
            <w:tcW w:type="dxa" w:w="1800"/>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r>
          </w:p>
        </w:tc>
        <w:tc>
          <w:tcPr>
            <w:tcW w:type="dxa" w:w="1584"/>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r>
          </w:p>
        </w:tc>
      </w:tr>
      <w:tr>
        <w:trPr>
          <w:cantSplit/>
        </w:trPr>
        <w:tc>
          <w:tcPr>
            <w:tcW w:type="dxa" w:w="792"/>
            <w:tcMar>
              <w:top w:w="95" w:type="dxa"/>
              <w:start w:w="95" w:type="dxa"/>
              <w:bottom w:w="95" w:type="dxa"/>
              <w:end w:w="95" w:type="dxa"/>
            </w:tcMar>
            <w:vAlign w:val="center"/>
            <w:shd w:fill="F1F5F9"/>
          </w:tcPr>
          <w:p>
            <w:pPr>
              <w:spacing w:after="20" w:line="240" w:lineRule="auto"/>
              <w:jc w:val="center"/>
            </w:pPr>
            <w:r>
              <w:rPr>
                <w:sz w:val="14"/>
              </w:rPr>
            </w:r>
          </w:p>
        </w:tc>
        <w:tc>
          <w:tcPr>
            <w:tcW w:type="dxa" w:w="3600"/>
            <w:tcMar>
              <w:top w:w="95" w:type="dxa"/>
              <w:start w:w="95" w:type="dxa"/>
              <w:bottom w:w="95" w:type="dxa"/>
              <w:end w:w="95" w:type="dxa"/>
            </w:tcMar>
            <w:vAlign w:val="center"/>
            <w:shd w:fill="F1F5F9"/>
          </w:tcPr>
          <w:p>
            <w:pPr>
              <w:spacing w:after="20" w:line="240" w:lineRule="auto"/>
            </w:pPr>
            <w:r>
              <w:rPr>
                <w:sz w:val="14"/>
              </w:rPr>
            </w:r>
          </w:p>
        </w:tc>
        <w:tc>
          <w:tcPr>
            <w:tcW w:type="dxa" w:w="1800"/>
            <w:tcMar>
              <w:top w:w="95" w:type="dxa"/>
              <w:start w:w="95" w:type="dxa"/>
              <w:bottom w:w="95" w:type="dxa"/>
              <w:end w:w="95" w:type="dxa"/>
            </w:tcMar>
            <w:vAlign w:val="center"/>
            <w:shd w:fill="F1F5F9"/>
          </w:tcPr>
          <w:p>
            <w:pPr>
              <w:spacing w:after="20" w:line="240" w:lineRule="auto"/>
            </w:pPr>
            <w:r>
              <w:rPr>
                <w:sz w:val="14"/>
              </w:rPr>
            </w:r>
          </w:p>
        </w:tc>
        <w:tc>
          <w:tcPr>
            <w:tcW w:type="dxa" w:w="1152"/>
            <w:tcMar>
              <w:top w:w="95" w:type="dxa"/>
              <w:start w:w="95" w:type="dxa"/>
              <w:bottom w:w="95" w:type="dxa"/>
              <w:end w:w="95" w:type="dxa"/>
            </w:tcMar>
            <w:vAlign w:val="center"/>
            <w:shd w:fill="F1F5F9"/>
          </w:tcPr>
          <w:p>
            <w:pPr>
              <w:spacing w:after="20" w:line="240" w:lineRule="auto"/>
            </w:pPr>
            <w:r>
              <w:rPr>
                <w:sz w:val="14"/>
              </w:rPr>
            </w:r>
          </w:p>
        </w:tc>
        <w:tc>
          <w:tcPr>
            <w:tcW w:type="dxa" w:w="1584"/>
            <w:tcMar>
              <w:top w:w="95" w:type="dxa"/>
              <w:start w:w="95" w:type="dxa"/>
              <w:bottom w:w="95" w:type="dxa"/>
              <w:end w:w="95" w:type="dxa"/>
            </w:tcMar>
            <w:vAlign w:val="center"/>
            <w:shd w:fill="F1F5F9"/>
          </w:tcPr>
          <w:p>
            <w:pPr>
              <w:spacing w:after="20" w:line="240" w:lineRule="auto"/>
            </w:pPr>
            <w:r>
              <w:rPr>
                <w:sz w:val="14"/>
              </w:rPr>
            </w:r>
          </w:p>
        </w:tc>
        <w:tc>
          <w:tcPr>
            <w:tcW w:type="dxa" w:w="1152"/>
            <w:tcMar>
              <w:top w:w="95" w:type="dxa"/>
              <w:start w:w="95" w:type="dxa"/>
              <w:bottom w:w="95" w:type="dxa"/>
              <w:end w:w="95" w:type="dxa"/>
            </w:tcMar>
            <w:vAlign w:val="center"/>
            <w:shd w:fill="F1F5F9"/>
          </w:tcPr>
          <w:p>
            <w:pPr>
              <w:spacing w:after="20" w:line="240" w:lineRule="auto"/>
            </w:pPr>
            <w:r>
              <w:rPr>
                <w:sz w:val="14"/>
              </w:rPr>
            </w:r>
          </w:p>
        </w:tc>
      </w:tr>
      <w:tr>
        <w:trPr>
          <w:cantSplit/>
        </w:trPr>
        <w:tc>
          <w:tcPr>
            <w:tcW w:type="dxa" w:w="792"/>
            <w:tcMar>
              <w:top w:w="95" w:type="dxa"/>
              <w:start w:w="95" w:type="dxa"/>
              <w:bottom w:w="95" w:type="dxa"/>
              <w:end w:w="95" w:type="dxa"/>
            </w:tcMar>
            <w:vAlign w:val="center"/>
          </w:tcPr>
          <w:p>
            <w:pPr>
              <w:spacing w:after="20" w:line="240" w:lineRule="auto"/>
              <w:jc w:val="center"/>
            </w:pPr>
            <w:r>
              <w:rPr>
                <w:sz w:val="14"/>
              </w:rPr>
            </w:r>
          </w:p>
        </w:tc>
        <w:tc>
          <w:tcPr>
            <w:tcW w:type="dxa" w:w="3600"/>
            <w:tcMar>
              <w:top w:w="95" w:type="dxa"/>
              <w:start w:w="95" w:type="dxa"/>
              <w:bottom w:w="95" w:type="dxa"/>
              <w:end w:w="95" w:type="dxa"/>
            </w:tcMar>
            <w:vAlign w:val="center"/>
          </w:tcPr>
          <w:p>
            <w:pPr>
              <w:spacing w:after="20" w:line="240" w:lineRule="auto"/>
            </w:pPr>
            <w:r>
              <w:rPr>
                <w:sz w:val="14"/>
              </w:rPr>
            </w:r>
          </w:p>
        </w:tc>
        <w:tc>
          <w:tcPr>
            <w:tcW w:type="dxa" w:w="1800"/>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r>
          </w:p>
        </w:tc>
        <w:tc>
          <w:tcPr>
            <w:tcW w:type="dxa" w:w="1584"/>
            <w:tcMar>
              <w:top w:w="95" w:type="dxa"/>
              <w:start w:w="95" w:type="dxa"/>
              <w:bottom w:w="95" w:type="dxa"/>
              <w:end w:w="95" w:type="dxa"/>
            </w:tcMar>
            <w:vAlign w:val="center"/>
          </w:tcPr>
          <w:p>
            <w:pPr>
              <w:spacing w:after="20" w:line="240" w:lineRule="auto"/>
            </w:pPr>
            <w:r>
              <w:rPr>
                <w:sz w:val="14"/>
              </w:rPr>
            </w:r>
          </w:p>
        </w:tc>
        <w:tc>
          <w:tcPr>
            <w:tcW w:type="dxa" w:w="1152"/>
            <w:tcMar>
              <w:top w:w="95" w:type="dxa"/>
              <w:start w:w="95" w:type="dxa"/>
              <w:bottom w:w="95" w:type="dxa"/>
              <w:end w:w="95" w:type="dxa"/>
            </w:tcMar>
            <w:vAlign w:val="center"/>
          </w:tcPr>
          <w:p>
            <w:pPr>
              <w:spacing w:after="20" w:line="240" w:lineRule="auto"/>
            </w:pPr>
            <w:r>
              <w:rPr>
                <w:sz w:val="14"/>
              </w:rPr>
            </w:r>
          </w:p>
        </w:tc>
      </w:tr>
      <w:tr>
        <w:trPr>
          <w:cantSplit/>
        </w:trPr>
        <w:tc>
          <w:tcPr>
            <w:tcW w:type="dxa" w:w="792"/>
            <w:tcMar>
              <w:top w:w="95" w:type="dxa"/>
              <w:start w:w="95" w:type="dxa"/>
              <w:bottom w:w="95" w:type="dxa"/>
              <w:end w:w="95" w:type="dxa"/>
            </w:tcMar>
            <w:vAlign w:val="center"/>
            <w:shd w:fill="F1F5F9"/>
          </w:tcPr>
          <w:p>
            <w:pPr>
              <w:spacing w:after="20" w:line="240" w:lineRule="auto"/>
              <w:jc w:val="center"/>
            </w:pPr>
            <w:r>
              <w:rPr>
                <w:sz w:val="14"/>
              </w:rPr>
            </w:r>
          </w:p>
        </w:tc>
        <w:tc>
          <w:tcPr>
            <w:tcW w:type="dxa" w:w="3600"/>
            <w:tcMar>
              <w:top w:w="95" w:type="dxa"/>
              <w:start w:w="95" w:type="dxa"/>
              <w:bottom w:w="95" w:type="dxa"/>
              <w:end w:w="95" w:type="dxa"/>
            </w:tcMar>
            <w:vAlign w:val="center"/>
            <w:shd w:fill="F1F5F9"/>
          </w:tcPr>
          <w:p>
            <w:pPr>
              <w:spacing w:after="20" w:line="240" w:lineRule="auto"/>
            </w:pPr>
            <w:r>
              <w:rPr>
                <w:sz w:val="14"/>
              </w:rPr>
            </w:r>
          </w:p>
        </w:tc>
        <w:tc>
          <w:tcPr>
            <w:tcW w:type="dxa" w:w="1800"/>
            <w:tcMar>
              <w:top w:w="95" w:type="dxa"/>
              <w:start w:w="95" w:type="dxa"/>
              <w:bottom w:w="95" w:type="dxa"/>
              <w:end w:w="95" w:type="dxa"/>
            </w:tcMar>
            <w:vAlign w:val="center"/>
            <w:shd w:fill="F1F5F9"/>
          </w:tcPr>
          <w:p>
            <w:pPr>
              <w:spacing w:after="20" w:line="240" w:lineRule="auto"/>
            </w:pPr>
            <w:r>
              <w:rPr>
                <w:sz w:val="14"/>
              </w:rPr>
            </w:r>
          </w:p>
        </w:tc>
        <w:tc>
          <w:tcPr>
            <w:tcW w:type="dxa" w:w="1152"/>
            <w:tcMar>
              <w:top w:w="95" w:type="dxa"/>
              <w:start w:w="95" w:type="dxa"/>
              <w:bottom w:w="95" w:type="dxa"/>
              <w:end w:w="95" w:type="dxa"/>
            </w:tcMar>
            <w:vAlign w:val="center"/>
            <w:shd w:fill="F1F5F9"/>
          </w:tcPr>
          <w:p>
            <w:pPr>
              <w:spacing w:after="20" w:line="240" w:lineRule="auto"/>
            </w:pPr>
            <w:r>
              <w:rPr>
                <w:sz w:val="14"/>
              </w:rPr>
            </w:r>
          </w:p>
        </w:tc>
        <w:tc>
          <w:tcPr>
            <w:tcW w:type="dxa" w:w="1584"/>
            <w:tcMar>
              <w:top w:w="95" w:type="dxa"/>
              <w:start w:w="95" w:type="dxa"/>
              <w:bottom w:w="95" w:type="dxa"/>
              <w:end w:w="95" w:type="dxa"/>
            </w:tcMar>
            <w:vAlign w:val="center"/>
            <w:shd w:fill="F1F5F9"/>
          </w:tcPr>
          <w:p>
            <w:pPr>
              <w:spacing w:after="20" w:line="240" w:lineRule="auto"/>
            </w:pPr>
            <w:r>
              <w:rPr>
                <w:sz w:val="14"/>
              </w:rPr>
            </w:r>
          </w:p>
        </w:tc>
        <w:tc>
          <w:tcPr>
            <w:tcW w:type="dxa" w:w="1152"/>
            <w:tcMar>
              <w:top w:w="95" w:type="dxa"/>
              <w:start w:w="95" w:type="dxa"/>
              <w:bottom w:w="95" w:type="dxa"/>
              <w:end w:w="95" w:type="dxa"/>
            </w:tcMar>
            <w:vAlign w:val="center"/>
            <w:shd w:fill="F1F5F9"/>
          </w:tcPr>
          <w:p>
            <w:pPr>
              <w:spacing w:after="20" w:line="240" w:lineRule="auto"/>
            </w:pPr>
            <w:r>
              <w:rPr>
                <w:sz w:val="14"/>
              </w:rPr>
            </w:r>
          </w:p>
        </w:tc>
      </w:tr>
    </w:tbl>
    <w:p>
      <w:pPr>
        <w:spacing w:after="20"/>
      </w:pPr>
    </w:p>
    <w:p>
      <w:r>
        <w:br w:type="page"/>
      </w:r>
    </w:p>
    <w:p>
      <w:pPr>
        <w:pStyle w:val="Heading1"/>
      </w:pPr>
      <w:r>
        <w:t>11 Ninety day engagement calendar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31"/>
        <w:gridCol w:w="3331"/>
        <w:gridCol w:w="3331"/>
      </w:tblGrid>
      <w:tr>
        <w:trPr>
          <w:tblHeader w:val="true"/>
          <w:cantSplit/>
        </w:trPr>
        <w:tc>
          <w:tcPr>
            <w:tcW w:type="dxa" w:w="1656"/>
            <w:shd w:fill="203864"/>
            <w:tcMar>
              <w:top w:w="100" w:type="dxa"/>
              <w:start w:w="100" w:type="dxa"/>
              <w:bottom w:w="100" w:type="dxa"/>
              <w:end w:w="100" w:type="dxa"/>
            </w:tcMar>
            <w:vAlign w:val="center"/>
          </w:tcPr>
          <w:p>
            <w:pPr>
              <w:jc w:val="center"/>
            </w:pPr>
            <w:r>
              <w:rPr>
                <w:b/>
                <w:color w:val="FFFFFF"/>
                <w:sz w:val="15"/>
              </w:rPr>
              <w:t>Period</w:t>
            </w:r>
          </w:p>
        </w:tc>
        <w:tc>
          <w:tcPr>
            <w:tcW w:type="dxa" w:w="5472"/>
            <w:shd w:fill="203864"/>
            <w:tcMar>
              <w:top w:w="100" w:type="dxa"/>
              <w:start w:w="100" w:type="dxa"/>
              <w:bottom w:w="100" w:type="dxa"/>
              <w:end w:w="100" w:type="dxa"/>
            </w:tcMar>
            <w:vAlign w:val="center"/>
          </w:tcPr>
          <w:p>
            <w:pPr>
              <w:jc w:val="center"/>
            </w:pPr>
            <w:r>
              <w:rPr>
                <w:b/>
                <w:color w:val="FFFFFF"/>
                <w:sz w:val="15"/>
              </w:rPr>
              <w:t>Engagement</w:t>
            </w:r>
          </w:p>
        </w:tc>
        <w:tc>
          <w:tcPr>
            <w:tcW w:type="dxa" w:w="2880"/>
            <w:shd w:fill="203864"/>
            <w:tcMar>
              <w:top w:w="100" w:type="dxa"/>
              <w:start w:w="100" w:type="dxa"/>
              <w:bottom w:w="100" w:type="dxa"/>
              <w:end w:w="100" w:type="dxa"/>
            </w:tcMar>
            <w:vAlign w:val="center"/>
          </w:tcPr>
          <w:p>
            <w:pPr>
              <w:jc w:val="center"/>
            </w:pPr>
            <w:r>
              <w:rPr>
                <w:b/>
                <w:color w:val="FFFFFF"/>
                <w:sz w:val="15"/>
              </w:rPr>
              <w:t>Output</w:t>
            </w:r>
          </w:p>
        </w:tc>
      </w:tr>
      <w:tr>
        <w:trPr>
          <w:cantSplit/>
        </w:trPr>
        <w:tc>
          <w:tcPr>
            <w:tcW w:type="dxa" w:w="1656"/>
            <w:tcMar>
              <w:top w:w="95" w:type="dxa"/>
              <w:start w:w="95" w:type="dxa"/>
              <w:bottom w:w="95" w:type="dxa"/>
              <w:end w:w="95" w:type="dxa"/>
            </w:tcMar>
            <w:vAlign w:val="center"/>
          </w:tcPr>
          <w:p>
            <w:pPr>
              <w:spacing w:after="20" w:line="240" w:lineRule="auto"/>
              <w:jc w:val="center"/>
            </w:pPr>
            <w:r>
              <w:rPr>
                <w:sz w:val="15"/>
              </w:rPr>
              <w:t>Days 1 to 15</w:t>
            </w:r>
          </w:p>
        </w:tc>
        <w:tc>
          <w:tcPr>
            <w:tcW w:type="dxa" w:w="5472"/>
            <w:tcMar>
              <w:top w:w="95" w:type="dxa"/>
              <w:start w:w="95" w:type="dxa"/>
              <w:bottom w:w="95" w:type="dxa"/>
              <w:end w:w="95" w:type="dxa"/>
            </w:tcMar>
            <w:vAlign w:val="center"/>
          </w:tcPr>
          <w:p>
            <w:pPr>
              <w:spacing w:after="20" w:line="240" w:lineRule="auto"/>
            </w:pPr>
            <w:r>
              <w:rPr>
                <w:sz w:val="15"/>
              </w:rPr>
              <w:t>Gujarat DST, GIL, GUJCOST and finance or procurement owners. Issue institutional evidence requests.</w:t>
            </w:r>
          </w:p>
        </w:tc>
        <w:tc>
          <w:tcPr>
            <w:tcW w:type="dxa" w:w="2880"/>
            <w:tcMar>
              <w:top w:w="95" w:type="dxa"/>
              <w:start w:w="95" w:type="dxa"/>
              <w:bottom w:w="95" w:type="dxa"/>
              <w:end w:w="95" w:type="dxa"/>
            </w:tcMar>
            <w:vAlign w:val="center"/>
          </w:tcPr>
          <w:p>
            <w:pPr>
              <w:spacing w:after="20" w:line="240" w:lineRule="auto"/>
            </w:pPr>
            <w:r>
              <w:rPr>
                <w:sz w:val="15"/>
              </w:rPr>
              <w:t>Authority map, tender files, data room and response tracker.</w:t>
            </w:r>
          </w:p>
        </w:tc>
      </w:tr>
      <w:tr>
        <w:trPr>
          <w:cantSplit/>
        </w:trPr>
        <w:tc>
          <w:tcPr>
            <w:tcW w:type="dxa" w:w="1656"/>
            <w:tcMar>
              <w:top w:w="95" w:type="dxa"/>
              <w:start w:w="95" w:type="dxa"/>
              <w:bottom w:w="95" w:type="dxa"/>
              <w:end w:w="95" w:type="dxa"/>
            </w:tcMar>
            <w:vAlign w:val="center"/>
            <w:shd w:fill="F1F5F9"/>
          </w:tcPr>
          <w:p>
            <w:pPr>
              <w:spacing w:after="20" w:line="240" w:lineRule="auto"/>
              <w:jc w:val="center"/>
            </w:pPr>
            <w:r>
              <w:rPr>
                <w:sz w:val="15"/>
              </w:rPr>
              <w:t>Days 16 to 35</w:t>
            </w:r>
          </w:p>
        </w:tc>
        <w:tc>
          <w:tcPr>
            <w:tcW w:type="dxa" w:w="5472"/>
            <w:tcMar>
              <w:top w:w="95" w:type="dxa"/>
              <w:start w:w="95" w:type="dxa"/>
              <w:bottom w:w="95" w:type="dxa"/>
              <w:end w:w="95" w:type="dxa"/>
            </w:tcMar>
            <w:vAlign w:val="center"/>
            <w:shd w:fill="F1F5F9"/>
          </w:tcPr>
          <w:p>
            <w:pPr>
              <w:spacing w:after="20" w:line="240" w:lineRule="auto"/>
            </w:pPr>
            <w:r>
              <w:rPr>
                <w:sz w:val="15"/>
              </w:rPr>
              <w:t>Institution interviews and facility inspections.</w:t>
            </w:r>
          </w:p>
        </w:tc>
        <w:tc>
          <w:tcPr>
            <w:tcW w:type="dxa" w:w="2880"/>
            <w:tcMar>
              <w:top w:w="95" w:type="dxa"/>
              <w:start w:w="95" w:type="dxa"/>
              <w:bottom w:w="95" w:type="dxa"/>
              <w:end w:w="95" w:type="dxa"/>
            </w:tcMar>
            <w:vAlign w:val="center"/>
            <w:shd w:fill="F1F5F9"/>
          </w:tcPr>
          <w:p>
            <w:pPr>
              <w:spacing w:after="20" w:line="240" w:lineRule="auto"/>
            </w:pPr>
            <w:r>
              <w:rPr>
                <w:sz w:val="15"/>
              </w:rPr>
              <w:t>Signed institution sheets and verified asset register.</w:t>
            </w:r>
          </w:p>
        </w:tc>
      </w:tr>
      <w:tr>
        <w:trPr>
          <w:cantSplit/>
        </w:trPr>
        <w:tc>
          <w:tcPr>
            <w:tcW w:type="dxa" w:w="1656"/>
            <w:tcMar>
              <w:top w:w="95" w:type="dxa"/>
              <w:start w:w="95" w:type="dxa"/>
              <w:bottom w:w="95" w:type="dxa"/>
              <w:end w:w="95" w:type="dxa"/>
            </w:tcMar>
            <w:vAlign w:val="center"/>
          </w:tcPr>
          <w:p>
            <w:pPr>
              <w:spacing w:after="20" w:line="240" w:lineRule="auto"/>
              <w:jc w:val="center"/>
            </w:pPr>
            <w:r>
              <w:rPr>
                <w:sz w:val="15"/>
              </w:rPr>
              <w:t>Days 21 to 45</w:t>
            </w:r>
          </w:p>
        </w:tc>
        <w:tc>
          <w:tcPr>
            <w:tcW w:type="dxa" w:w="5472"/>
            <w:tcMar>
              <w:top w:w="95" w:type="dxa"/>
              <w:start w:w="95" w:type="dxa"/>
              <w:bottom w:w="95" w:type="dxa"/>
              <w:end w:w="95" w:type="dxa"/>
            </w:tcMar>
            <w:vAlign w:val="center"/>
          </w:tcPr>
          <w:p>
            <w:pPr>
              <w:spacing w:after="20" w:line="240" w:lineRule="auto"/>
            </w:pPr>
            <w:r>
              <w:rPr>
                <w:sz w:val="15"/>
              </w:rPr>
              <w:t>Problem workshops with GIFT, digital government, ISR, GSV, utilities, ports, water, health and semiconductor actors.</w:t>
            </w:r>
          </w:p>
        </w:tc>
        <w:tc>
          <w:tcPr>
            <w:tcW w:type="dxa" w:w="2880"/>
            <w:tcMar>
              <w:top w:w="95" w:type="dxa"/>
              <w:start w:w="95" w:type="dxa"/>
              <w:bottom w:w="95" w:type="dxa"/>
              <w:end w:w="95" w:type="dxa"/>
            </w:tcMar>
            <w:vAlign w:val="center"/>
          </w:tcPr>
          <w:p>
            <w:pPr>
              <w:spacing w:after="20" w:line="240" w:lineRule="auto"/>
            </w:pPr>
            <w:r>
              <w:rPr>
                <w:sz w:val="15"/>
              </w:rPr>
              <w:t>Ten to fifteen signed problem statements.</w:t>
            </w:r>
          </w:p>
        </w:tc>
      </w:tr>
      <w:tr>
        <w:trPr>
          <w:cantSplit/>
        </w:trPr>
        <w:tc>
          <w:tcPr>
            <w:tcW w:type="dxa" w:w="1656"/>
            <w:tcMar>
              <w:top w:w="95" w:type="dxa"/>
              <w:start w:w="95" w:type="dxa"/>
              <w:bottom w:w="95" w:type="dxa"/>
              <w:end w:w="95" w:type="dxa"/>
            </w:tcMar>
            <w:vAlign w:val="center"/>
            <w:shd w:fill="F1F5F9"/>
          </w:tcPr>
          <w:p>
            <w:pPr>
              <w:spacing w:after="20" w:line="240" w:lineRule="auto"/>
              <w:jc w:val="center"/>
            </w:pPr>
            <w:r>
              <w:rPr>
                <w:sz w:val="15"/>
              </w:rPr>
              <w:t>Days 30 to 60</w:t>
            </w:r>
          </w:p>
        </w:tc>
        <w:tc>
          <w:tcPr>
            <w:tcW w:type="dxa" w:w="5472"/>
            <w:tcMar>
              <w:top w:w="95" w:type="dxa"/>
              <w:start w:w="95" w:type="dxa"/>
              <w:bottom w:w="95" w:type="dxa"/>
              <w:end w:w="95" w:type="dxa"/>
            </w:tcMar>
            <w:vAlign w:val="center"/>
            <w:shd w:fill="F1F5F9"/>
          </w:tcPr>
          <w:p>
            <w:pPr>
              <w:spacing w:after="20" w:line="240" w:lineRule="auto"/>
            </w:pPr>
            <w:r>
              <w:rPr>
                <w:sz w:val="15"/>
              </w:rPr>
              <w:t>DST NQM umbrella meeting and separate meetings with FQCI, Samgnya, Qmet and QMD.</w:t>
            </w:r>
          </w:p>
        </w:tc>
        <w:tc>
          <w:tcPr>
            <w:tcW w:type="dxa" w:w="2880"/>
            <w:tcMar>
              <w:top w:w="95" w:type="dxa"/>
              <w:start w:w="95" w:type="dxa"/>
              <w:bottom w:w="95" w:type="dxa"/>
              <w:end w:w="95" w:type="dxa"/>
            </w:tcMar>
            <w:vAlign w:val="center"/>
            <w:shd w:fill="F1F5F9"/>
          </w:tcPr>
          <w:p>
            <w:pPr>
              <w:spacing w:after="20" w:line="240" w:lineRule="auto"/>
            </w:pPr>
            <w:r>
              <w:rPr>
                <w:sz w:val="15"/>
              </w:rPr>
              <w:t>Four access matrices and draft term sheets.</w:t>
            </w:r>
          </w:p>
        </w:tc>
      </w:tr>
      <w:tr>
        <w:trPr>
          <w:cantSplit/>
        </w:trPr>
        <w:tc>
          <w:tcPr>
            <w:tcW w:type="dxa" w:w="1656"/>
            <w:tcMar>
              <w:top w:w="95" w:type="dxa"/>
              <w:start w:w="95" w:type="dxa"/>
              <w:bottom w:w="95" w:type="dxa"/>
              <w:end w:w="95" w:type="dxa"/>
            </w:tcMar>
            <w:vAlign w:val="center"/>
          </w:tcPr>
          <w:p>
            <w:pPr>
              <w:spacing w:after="20" w:line="240" w:lineRule="auto"/>
              <w:jc w:val="center"/>
            </w:pPr>
            <w:r>
              <w:rPr>
                <w:sz w:val="15"/>
              </w:rPr>
              <w:t>Days 50 to 75</w:t>
            </w:r>
          </w:p>
        </w:tc>
        <w:tc>
          <w:tcPr>
            <w:tcW w:type="dxa" w:w="5472"/>
            <w:tcMar>
              <w:top w:w="95" w:type="dxa"/>
              <w:start w:w="95" w:type="dxa"/>
              <w:bottom w:w="95" w:type="dxa"/>
              <w:end w:w="95" w:type="dxa"/>
            </w:tcMar>
            <w:vAlign w:val="center"/>
          </w:tcPr>
          <w:p>
            <w:pPr>
              <w:spacing w:after="20" w:line="240" w:lineRule="auto"/>
            </w:pPr>
            <w:r>
              <w:rPr>
                <w:sz w:val="15"/>
              </w:rPr>
              <w:t>Independent technical, security, procurement and finance review.</w:t>
            </w:r>
          </w:p>
        </w:tc>
        <w:tc>
          <w:tcPr>
            <w:tcW w:type="dxa" w:w="2880"/>
            <w:tcMar>
              <w:top w:w="95" w:type="dxa"/>
              <w:start w:w="95" w:type="dxa"/>
              <w:bottom w:w="95" w:type="dxa"/>
              <w:end w:w="95" w:type="dxa"/>
            </w:tcMar>
            <w:vAlign w:val="center"/>
          </w:tcPr>
          <w:p>
            <w:pPr>
              <w:spacing w:after="20" w:line="240" w:lineRule="auto"/>
            </w:pPr>
            <w:r>
              <w:rPr>
                <w:sz w:val="15"/>
              </w:rPr>
              <w:t>Ranked pilot slate and rejection reasons.</w:t>
            </w:r>
          </w:p>
        </w:tc>
      </w:tr>
      <w:tr>
        <w:trPr>
          <w:cantSplit/>
        </w:trPr>
        <w:tc>
          <w:tcPr>
            <w:tcW w:type="dxa" w:w="1656"/>
            <w:tcMar>
              <w:top w:w="95" w:type="dxa"/>
              <w:start w:w="95" w:type="dxa"/>
              <w:bottom w:w="95" w:type="dxa"/>
              <w:end w:w="95" w:type="dxa"/>
            </w:tcMar>
            <w:vAlign w:val="center"/>
            <w:shd w:fill="F1F5F9"/>
          </w:tcPr>
          <w:p>
            <w:pPr>
              <w:spacing w:after="20" w:line="240" w:lineRule="auto"/>
              <w:jc w:val="center"/>
            </w:pPr>
            <w:r>
              <w:rPr>
                <w:sz w:val="15"/>
              </w:rPr>
              <w:t>Days 76 to 90</w:t>
            </w:r>
          </w:p>
        </w:tc>
        <w:tc>
          <w:tcPr>
            <w:tcW w:type="dxa" w:w="5472"/>
            <w:tcMar>
              <w:top w:w="95" w:type="dxa"/>
              <w:start w:w="95" w:type="dxa"/>
              <w:bottom w:w="95" w:type="dxa"/>
              <w:end w:w="95" w:type="dxa"/>
            </w:tcMar>
            <w:vAlign w:val="center"/>
            <w:shd w:fill="F1F5F9"/>
          </w:tcPr>
          <w:p>
            <w:pPr>
              <w:spacing w:after="20" w:line="240" w:lineRule="auto"/>
            </w:pPr>
            <w:r>
              <w:rPr>
                <w:sz w:val="15"/>
              </w:rPr>
              <w:t>Decision meeting and pilot authorisation.</w:t>
            </w:r>
          </w:p>
        </w:tc>
        <w:tc>
          <w:tcPr>
            <w:tcW w:type="dxa" w:w="2880"/>
            <w:tcMar>
              <w:top w:w="95" w:type="dxa"/>
              <w:start w:w="95" w:type="dxa"/>
              <w:bottom w:w="95" w:type="dxa"/>
              <w:end w:w="95" w:type="dxa"/>
            </w:tcMar>
            <w:vAlign w:val="center"/>
            <w:shd w:fill="F1F5F9"/>
          </w:tcPr>
          <w:p>
            <w:pPr>
              <w:spacing w:after="20" w:line="240" w:lineRule="auto"/>
            </w:pPr>
            <w:r>
              <w:rPr>
                <w:sz w:val="15"/>
              </w:rPr>
              <w:t>Budget, owners, milestones, stop gates and quarterly reporting format.</w:t>
            </w:r>
          </w:p>
        </w:tc>
      </w:tr>
    </w:tbl>
    <w:p>
      <w:pPr>
        <w:spacing w:after="20"/>
      </w:pPr>
    </w:p>
    <w:p>
      <w:r>
        <w:rPr>
          <w:b/>
        </w:rPr>
        <w:t>Completion boundary</w:t>
      </w:r>
      <w:r/>
    </w:p>
    <w:p>
      <w:r>
        <w:t>A meeting, letter, submission or memorandum does not establish access or delivery. Close an action only when the authorised record, signed term, accepted facility evidence or approved pilot decision is stored in the evidence room.</w:t>
      </w:r>
    </w:p>
    <w:sectPr w:rsidR="00FC693F" w:rsidRPr="0006063C" w:rsidSect="00034616">
      <w:footerReference w:type="default" r:id="rId9"/>
      <w:pgSz w:w="12240" w:h="15840"/>
      <w:pgMar w:top="1008"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Gujarat Quantum Mission Stakeholder Engagement Kit  |  Evidence checked 1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Gujarat Quantum Mission Stakeholder Engagement Kit</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