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Gujarat Quantum Mission Master Planning Handbook</w:t>
      </w:r>
    </w:p>
    <w:p>
      <w:r>
        <w:t>Linked national, state, institutional and international evidence for mission design</w:t>
      </w:r>
    </w:p>
    <w:p>
      <w:r>
        <w:t>Evidence checked 1 October 2026</w:t>
      </w:r>
    </w:p>
    <w:p>
      <w:r>
        <w:rPr>
          <w:b/>
        </w:rPr>
        <w:t>Purpose</w:t>
      </w:r>
      <w:r/>
    </w:p>
    <w:p>
      <w:r>
        <w:t>This handbook gives Gujarat a single planning reference for mission governance, national access, capability verification, demand validation and staged implementation. It connects the detailed evidence workbook, engagement kit and executive roadmap supplied with this package.</w:t>
      </w:r>
    </w:p>
    <w:p>
      <w:r>
        <w:rPr>
          <w:b/>
        </w:rPr>
        <w:t>Planning conclusion</w:t>
      </w:r>
      <w:r/>
    </w:p>
    <w:p>
      <w:r>
        <w:t>Gujarat should begin with a state mission office, a verified asset and problem register, formal access to the four National Quantum Mission hubs, a post quantum cryptography programme and a small portfolio of independently tested pilots. The evidence does not yet support a hardware first campus or a large equipment purchase.</w:t>
      </w:r>
    </w:p>
    <w:p>
      <w:r>
        <w:br w:type="page"/>
      </w:r>
    </w:p>
    <w:p>
      <w:pPr>
        <w:pStyle w:val="Heading1"/>
      </w:pPr>
      <w:r>
        <w:t>Contents</w:t>
      </w:r>
    </w:p>
    <w:p>
      <w:pPr>
        <w:spacing w:after="60"/>
        <w:ind w:left="288" w:hanging="288"/>
      </w:pPr>
      <w:r>
        <w:t>1. How to use the package</w:t>
      </w:r>
    </w:p>
    <w:p>
      <w:pPr>
        <w:spacing w:after="60"/>
        <w:ind w:left="288" w:hanging="288"/>
      </w:pPr>
      <w:r>
        <w:t>2. Evidence and decision rules</w:t>
      </w:r>
    </w:p>
    <w:p>
      <w:pPr>
        <w:spacing w:after="60"/>
        <w:ind w:left="288" w:hanging="288"/>
      </w:pPr>
      <w:r>
        <w:t>3. India National Quantum Mission</w:t>
      </w:r>
    </w:p>
    <w:p>
      <w:pPr>
        <w:spacing w:after="60"/>
        <w:ind w:left="288" w:hanging="288"/>
      </w:pPr>
      <w:r>
        <w:t>4. Four National Quantum Mission hubs</w:t>
      </w:r>
    </w:p>
    <w:p>
      <w:pPr>
        <w:spacing w:after="60"/>
        <w:ind w:left="288" w:hanging="288"/>
      </w:pPr>
      <w:r>
        <w:t>5. Indian state comparison</w:t>
      </w:r>
    </w:p>
    <w:p>
      <w:pPr>
        <w:spacing w:after="60"/>
        <w:ind w:left="288" w:hanging="288"/>
      </w:pPr>
      <w:r>
        <w:t>6. International reference models</w:t>
      </w:r>
    </w:p>
    <w:p>
      <w:pPr>
        <w:spacing w:after="60"/>
        <w:ind w:left="288" w:hanging="288"/>
      </w:pPr>
      <w:r>
        <w:t>7. Gujarat policy and capability base</w:t>
      </w:r>
    </w:p>
    <w:p>
      <w:pPr>
        <w:spacing w:after="60"/>
        <w:ind w:left="288" w:hanging="288"/>
      </w:pPr>
      <w:r>
        <w:t>8. Demand portfolio</w:t>
      </w:r>
    </w:p>
    <w:p>
      <w:pPr>
        <w:spacing w:after="60"/>
        <w:ind w:left="288" w:hanging="288"/>
      </w:pPr>
      <w:r>
        <w:t>9. Recommended Gujarat mission architecture</w:t>
      </w:r>
    </w:p>
    <w:p>
      <w:pPr>
        <w:spacing w:after="60"/>
        <w:ind w:left="288" w:hanging="288"/>
      </w:pPr>
      <w:r>
        <w:t>10. Phased roadmap</w:t>
      </w:r>
    </w:p>
    <w:p>
      <w:pPr>
        <w:spacing w:after="60"/>
        <w:ind w:left="288" w:hanging="288"/>
      </w:pPr>
      <w:r>
        <w:t>11. Decision gates and measures</w:t>
      </w:r>
    </w:p>
    <w:p>
      <w:pPr>
        <w:spacing w:after="60"/>
        <w:ind w:left="288" w:hanging="288"/>
      </w:pPr>
      <w:r>
        <w:t>12. Linked source directory</w:t>
      </w:r>
    </w:p>
    <w:p>
      <w:pPr>
        <w:pStyle w:val="Heading1"/>
      </w:pPr>
      <w:r>
        <w:t>1 How to use the package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2232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File</w:t>
            </w:r>
          </w:p>
        </w:tc>
        <w:tc>
          <w:tcPr>
            <w:tcW w:type="dxa" w:w="4896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Primary use</w:t>
            </w:r>
          </w:p>
        </w:tc>
        <w:tc>
          <w:tcPr>
            <w:tcW w:type="dxa" w:w="2808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When to update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Master planning handbook</w:t>
            </w:r>
          </w:p>
        </w:tc>
        <w:tc>
          <w:tcPr>
            <w:tcW w:type="dxa" w:w="48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Common narrative, architecture and linked source directory.</w:t>
            </w:r>
          </w:p>
        </w:tc>
        <w:tc>
          <w:tcPr>
            <w:tcW w:type="dxa" w:w="28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After major policy, programme or mission decisions.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Evidence workbook</w:t>
            </w:r>
          </w:p>
        </w:tc>
        <w:tc>
          <w:tcPr>
            <w:tcW w:type="dxa" w:w="48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Record level evidence, owners, status, links, verification questions and actions.</w:t>
            </w:r>
          </w:p>
        </w:tc>
        <w:tc>
          <w:tcPr>
            <w:tcW w:type="dxa" w:w="28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Continuously. Every claim or stakeholder response becomes a row update.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Stakeholder engagement kit</w:t>
            </w:r>
          </w:p>
        </w:tc>
        <w:tc>
          <w:tcPr>
            <w:tcW w:type="dxa" w:w="48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Official letters, meeting agendas, interview forms and inspection templates.</w:t>
            </w:r>
          </w:p>
        </w:tc>
        <w:tc>
          <w:tcPr>
            <w:tcW w:type="dxa" w:w="28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Before each engagement. Preserve completed signed copies in the evidence room.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Executive roadmap</w:t>
            </w:r>
          </w:p>
        </w:tc>
        <w:tc>
          <w:tcPr>
            <w:tcW w:type="dxa" w:w="48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Discussion deck for ministers, departments, institutions and industry.</w:t>
            </w:r>
          </w:p>
        </w:tc>
        <w:tc>
          <w:tcPr>
            <w:tcW w:type="dxa" w:w="28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After each decision gate or approved change in direction.</w:t>
            </w:r>
          </w:p>
        </w:tc>
      </w:tr>
    </w:tbl>
    <w:p>
      <w:pPr>
        <w:spacing w:after="20"/>
      </w:pPr>
    </w:p>
    <w:p>
      <w:r>
        <w:t>The workbook is the control record. The handbook and deck should use only claims whose workbook status and source support the wording used.</w:t>
      </w:r>
    </w:p>
    <w:p>
      <w:pPr>
        <w:pStyle w:val="Heading1"/>
      </w:pPr>
      <w:r>
        <w:t>2 Evidence and decision rules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997"/>
        <w:gridCol w:w="4997"/>
      </w:tblGrid>
      <w:tr>
        <w:trPr>
          <w:tblHeader w:val="true"/>
          <w:cantSplit/>
        </w:trPr>
        <w:tc>
          <w:tcPr>
            <w:tcW w:type="dxa" w:w="2232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7560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Meaning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Announced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Public intention without demonstrated authority, finance or delivery.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Approved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6"/>
              </w:rPr>
              <w:t>Competent authority approved the programme or policy.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Sanctioned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Administrative or financial project envelope approved.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Released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6"/>
              </w:rPr>
              <w:t>Funds transferred or made available.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Tendered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Procurement process initiated.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Awarded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6"/>
              </w:rPr>
              <w:t>Contract or letter of acceptance issued.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Installed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Asset physically placed.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Operational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6"/>
              </w:rPr>
              <w:t>People, systems and procedures can use the asset.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Demonstrated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A defined technical result has been reported.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Independently validated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6"/>
              </w:rPr>
              <w:t>A third party tested or reproduced the result.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Deployed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Used in a real operating environment.</w:t>
            </w:r>
          </w:p>
        </w:tc>
      </w:tr>
      <w:tr>
        <w:trPr>
          <w:cantSplit/>
        </w:trPr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Scaled</w:t>
            </w:r>
          </w:p>
        </w:tc>
        <w:tc>
          <w:tcPr>
            <w:tcW w:type="dxa" w:w="75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6"/>
              </w:rPr>
              <w:t>Repeated beyond a pilot.</w:t>
            </w:r>
          </w:p>
        </w:tc>
      </w:tr>
    </w:tbl>
    <w:p>
      <w:pPr>
        <w:spacing w:after="20"/>
      </w:pPr>
    </w:p>
    <w:p>
      <w:pPr>
        <w:pStyle w:val="ListBullet"/>
        <w:spacing w:after="40"/>
      </w:pPr>
      <w:r>
        <w:t>Location does not establish state ownership or access.</w:t>
      </w:r>
    </w:p>
    <w:p>
      <w:pPr>
        <w:pStyle w:val="ListBullet"/>
        <w:spacing w:after="40"/>
      </w:pPr>
      <w:r>
        <w:t>A policy allocation is different from a quantum-specific sanction.</w:t>
      </w:r>
    </w:p>
    <w:p>
      <w:pPr>
        <w:pStyle w:val="ListBullet"/>
        <w:spacing w:after="40"/>
      </w:pPr>
      <w:r>
        <w:t>A tender does not prove award, installation or operation.</w:t>
      </w:r>
    </w:p>
    <w:p>
      <w:pPr>
        <w:pStyle w:val="ListBullet"/>
        <w:spacing w:after="40"/>
      </w:pPr>
      <w:r>
        <w:t>A technical demonstration does not prove procurement readiness.</w:t>
      </w:r>
    </w:p>
    <w:p>
      <w:pPr>
        <w:pStyle w:val="ListBullet"/>
        <w:spacing w:after="40"/>
      </w:pPr>
      <w:r>
        <w:t>Every pilot needs a problem owner, strong classical baseline, acceptance test, security review, operating-cost view and stop condition.</w:t>
      </w:r>
    </w:p>
    <w:p>
      <w:pPr>
        <w:pStyle w:val="Heading1"/>
      </w:pPr>
      <w:r>
        <w:t>3 India National Quantum Mission</w:t>
      </w:r>
    </w:p>
    <w:p>
      <w:r>
        <w:t>The Union Cabinet approved the National Quantum Mission on 19 April 2023 with an outlay of ₹6,003.65 crore for FY2023-24 to FY2030-31. The mission targets computing, communication, sensing and metrology, and materials and devices. DST coordinates delivery through four Section 8 hub companies and a distributed research network.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800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Element</w:t>
            </w:r>
          </w:p>
        </w:tc>
        <w:tc>
          <w:tcPr>
            <w:tcW w:type="dxa" w:w="4320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Verified position</w:t>
            </w:r>
          </w:p>
        </w:tc>
        <w:tc>
          <w:tcPr>
            <w:tcW w:type="dxa" w:w="3672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Planning implication for Gujarat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Authority</w:t>
            </w:r>
          </w:p>
        </w:tc>
        <w:tc>
          <w:tcPr>
            <w:tcW w:type="dxa" w:w="43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Cabinet-approved national mission for eight years.</w:t>
            </w:r>
          </w:p>
        </w:tc>
        <w:tc>
          <w:tcPr>
            <w:tcW w:type="dxa" w:w="36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Align the state programme with NQM technical groups and calls rather than duplicate the national structure.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Network</w:t>
            </w:r>
          </w:p>
        </w:tc>
        <w:tc>
          <w:tcPr>
            <w:tcW w:type="dxa" w:w="43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14 Technical Groups, 17 selected proposals, 152 researchers and 43 institutions reported by DST.</w:t>
            </w:r>
          </w:p>
        </w:tc>
        <w:tc>
          <w:tcPr>
            <w:tcW w:type="dxa" w:w="36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Use Gujarat institutions as specialist nodes within a national network.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Finance</w:t>
            </w:r>
          </w:p>
        </w:tc>
        <w:tc>
          <w:tcPr>
            <w:tcW w:type="dxa" w:w="43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₹6,003.65 crore total outlay. Dated sanctions, releases and expenditure must remain separate.</w:t>
            </w:r>
          </w:p>
        </w:tc>
        <w:tc>
          <w:tcPr>
            <w:tcW w:type="dxa" w:w="36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Seek project co-funding and services. Do not treat national outlay as money available to Gujarat.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Startups</w:t>
            </w:r>
          </w:p>
        </w:tc>
        <w:tc>
          <w:tcPr>
            <w:tcW w:type="dxa" w:w="43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Common guidelines and rolling calls through all four hubs.</w:t>
            </w:r>
          </w:p>
        </w:tc>
        <w:tc>
          <w:tcPr>
            <w:tcW w:type="dxa" w:w="36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Prepare Gujarat startups for DPIIT, Indian ownership, India-resident IP and milestone review requirements.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Talent</w:t>
            </w:r>
          </w:p>
        </w:tc>
        <w:tc>
          <w:tcPr>
            <w:tcW w:type="dxa" w:w="43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BTech minor and MTech curriculum frameworks plus calls and hub programmes.</w:t>
            </w:r>
          </w:p>
        </w:tc>
        <w:tc>
          <w:tcPr>
            <w:tcW w:type="dxa" w:w="36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Scale instructors, cloud access and experiments before buying advanced teaching hardware.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Facilities</w:t>
            </w:r>
          </w:p>
        </w:tc>
        <w:tc>
          <w:tcPr>
            <w:tcW w:type="dxa" w:w="43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National facilities and new capacity are being developed at lead institutions.</w:t>
            </w:r>
          </w:p>
        </w:tc>
        <w:tc>
          <w:tcPr>
            <w:tcW w:type="dxa" w:w="36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Request present inventory, booking, tariff, security and commissioning evidence before local capital proposals.</w:t>
            </w:r>
          </w:p>
        </w:tc>
      </w:tr>
    </w:tbl>
    <w:p>
      <w:pPr>
        <w:spacing w:after="20"/>
      </w:pPr>
    </w:p>
    <w:p>
      <w:pPr>
        <w:spacing w:after="40"/>
      </w:pPr>
      <w:r>
        <w:rPr>
          <w:b/>
          <w:sz w:val="17"/>
        </w:rPr>
        <w:t xml:space="preserve">DST National Quantum Mission: </w:t>
      </w:r>
      <w:hyperlink r:id="rId9">
        <w:r>
          <w:rPr>
            <w:color w:val="0563C1"/>
            <w:u w:val="single"/>
          </w:rPr>
          <w:t>Open official source</w:t>
        </w:r>
      </w:hyperlink>
      <w:r>
        <w:rPr>
          <w:sz w:val="17"/>
        </w:rPr>
        <w:t xml:space="preserve">  Mission targets, hubs, calls and Quantum Technology Cell contacts.</w:t>
      </w:r>
    </w:p>
    <w:p>
      <w:pPr>
        <w:spacing w:after="40"/>
      </w:pPr>
      <w:r>
        <w:rPr>
          <w:b/>
          <w:sz w:val="17"/>
        </w:rPr>
        <w:t xml:space="preserve">DST hub network: </w:t>
      </w:r>
      <w:hyperlink r:id="rId10">
        <w:r>
          <w:rPr>
            <w:color w:val="0563C1"/>
            <w:u w:val="single"/>
          </w:rPr>
          <w:t>Open official source</w:t>
        </w:r>
      </w:hyperlink>
      <w:r>
        <w:rPr>
          <w:sz w:val="17"/>
        </w:rPr>
        <w:t xml:space="preserve">  Lead and member institutions, including IIT Gandhinagar and ISRO Ahmedabad.</w:t>
      </w:r>
    </w:p>
    <w:p>
      <w:pPr>
        <w:spacing w:after="40"/>
      </w:pPr>
      <w:r>
        <w:rPr>
          <w:b/>
          <w:sz w:val="17"/>
        </w:rPr>
        <w:t xml:space="preserve">Cabinet approval: </w:t>
      </w:r>
      <w:hyperlink r:id="rId11">
        <w:r>
          <w:rPr>
            <w:color w:val="0563C1"/>
            <w:u w:val="single"/>
          </w:rPr>
          <w:t>Open official source</w:t>
        </w:r>
      </w:hyperlink>
      <w:r>
        <w:rPr>
          <w:sz w:val="17"/>
        </w:rPr>
        <w:t xml:space="preserve">  Authority, outlay and targets.</w:t>
      </w:r>
    </w:p>
    <w:p>
      <w:pPr>
        <w:spacing w:after="40"/>
      </w:pPr>
      <w:r>
        <w:rPr>
          <w:b/>
          <w:sz w:val="17"/>
        </w:rPr>
        <w:t xml:space="preserve">Startup guidelines: </w:t>
      </w:r>
      <w:hyperlink r:id="rId12">
        <w:r>
          <w:rPr>
            <w:color w:val="0563C1"/>
            <w:u w:val="single"/>
          </w:rPr>
          <w:t>Open official source</w:t>
        </w:r>
      </w:hyperlink>
      <w:r>
        <w:rPr>
          <w:sz w:val="17"/>
        </w:rPr>
        <w:t xml:space="preserve">  Eligibility, governance and milestone support rules.</w:t>
      </w:r>
    </w:p>
    <w:p>
      <w:pPr>
        <w:pStyle w:val="Heading1"/>
      </w:pPr>
      <w:r>
        <w:t>4 Four National Quantum Mission hubs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2088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Hub</w:t>
            </w:r>
          </w:p>
        </w:tc>
        <w:tc>
          <w:tcPr>
            <w:tcW w:type="dxa" w:w="4752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Current public entry routes</w:t>
            </w:r>
          </w:p>
        </w:tc>
        <w:tc>
          <w:tcPr>
            <w:tcW w:type="dxa" w:w="3024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Gujarat first action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FQCI at IISc Bengaluru</w:t>
            </w:r>
          </w:p>
        </w:tc>
        <w:tc>
          <w:tcPr>
            <w:tcW w:type="dxa" w:w="47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QC LEAP startup support, QC ACCEL academia industry projects, QC QUEST events, talent routes and existing nanofabrication services.</w:t>
            </w:r>
          </w:p>
        </w:tc>
        <w:tc>
          <w:tcPr>
            <w:tcW w:type="dxa" w:w="30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Pair Gujarat researchers with named industrial problems. Confirm live call windows, cloud or QPU access, facility tariffs and IP terms.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Samgnya at IIT Madras and C-DOT</w:t>
            </w:r>
          </w:p>
        </w:tc>
        <w:tc>
          <w:tcPr>
            <w:tcW w:type="dxa" w:w="47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Rolling quantum communication startup call, talent applications, workshops and technical-group collaboration.</w:t>
            </w:r>
          </w:p>
        </w:tc>
        <w:tc>
          <w:tcPr>
            <w:tcW w:type="dxa" w:w="30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Present GIFT and state-network cryptographic problems. Request a pre-feasibility and security architecture before any QKD proposal.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Qmet Tech at IIT Bombay</w:t>
            </w:r>
          </w:p>
        </w:tc>
        <w:tc>
          <w:tcPr>
            <w:tcW w:type="dxa" w:w="47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NextSense startup support, fellowships, collaboration and facility access subject to policy. IIT Gandhinagar appears in the network.</w:t>
            </w:r>
          </w:p>
        </w:tc>
        <w:tc>
          <w:tcPr>
            <w:tcW w:type="dxa" w:w="30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Begin through IIT Gandhinagar. Obtain the exact work package, equipment list, calibration chain and industry problem route.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QMD Foundation at IIT Delhi</w:t>
            </w:r>
          </w:p>
        </w:tc>
        <w:tc>
          <w:tcPr>
            <w:tcW w:type="dxa" w:w="47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Rolling NextLeap startup call, fellowships and planned fabrication and testing access.</w:t>
            </w:r>
          </w:p>
        </w:tc>
        <w:tc>
          <w:tcPr>
            <w:tcW w:type="dxa" w:w="30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Map Gujarat semiconductor and photonics capability. Confirm foundry commissioning, process access, sample ownership and funding terms.</w:t>
            </w:r>
          </w:p>
        </w:tc>
      </w:tr>
    </w:tbl>
    <w:p>
      <w:pPr>
        <w:spacing w:after="20"/>
      </w:pPr>
    </w:p>
    <w:p>
      <w:r>
        <w:t>No hub publishes a general post-formation process for a state government to become a consortium member. Gujarat should pursue project calls, facility-service agreements, user problem statements, fellowships and negotiated MoUs.</w:t>
      </w:r>
    </w:p>
    <w:p>
      <w:pPr>
        <w:spacing w:after="40"/>
      </w:pPr>
      <w:r>
        <w:rPr>
          <w:b/>
          <w:sz w:val="17"/>
        </w:rPr>
        <w:t xml:space="preserve">FQCI programmes: </w:t>
      </w:r>
      <w:hyperlink r:id="rId13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Samgnya startup call: </w:t>
      </w:r>
      <w:hyperlink r:id="rId14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Qmet NextSense: </w:t>
      </w:r>
      <w:hyperlink r:id="rId15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QMD NextLeap: </w:t>
      </w:r>
      <w:hyperlink r:id="rId16">
        <w:r>
          <w:rPr>
            <w:color w:val="0563C1"/>
            <w:u w:val="single"/>
          </w:rPr>
          <w:t>Open official source</w:t>
        </w:r>
      </w:hyperlink>
    </w:p>
    <w:p>
      <w:pPr>
        <w:pStyle w:val="Heading1"/>
      </w:pPr>
      <w:r>
        <w:t>5 Indian state comparison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  <w:cantSplit/>
        </w:trPr>
        <w:tc>
          <w:tcPr>
            <w:tcW w:type="dxa" w:w="1440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State</w:t>
            </w:r>
          </w:p>
        </w:tc>
        <w:tc>
          <w:tcPr>
            <w:tcW w:type="dxa" w:w="3240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Verified model</w:t>
            </w:r>
          </w:p>
        </w:tc>
        <w:tc>
          <w:tcPr>
            <w:tcW w:type="dxa" w:w="3240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Transferable lesson</w:t>
            </w:r>
          </w:p>
        </w:tc>
        <w:tc>
          <w:tcPr>
            <w:tcW w:type="dxa" w:w="2088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3"/>
              </w:rPr>
              <w:t>Critical caution</w:t>
            </w:r>
          </w:p>
        </w:tc>
      </w:tr>
      <w:tr>
        <w:trPr>
          <w:cantSplit/>
        </w:trPr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3"/>
              </w:rPr>
              <w:t>Andhra Pradesh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State-funded physical cluster with sanction, award and contractor payment evidence.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Capital execution, land and accountable project delivery.</w:t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No verified commissioned quantum system or operating model yet.</w:t>
            </w:r>
          </w:p>
        </w:tc>
      </w:tr>
      <w:tr>
        <w:trPr>
          <w:cantSplit/>
        </w:trPr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3"/>
              </w:rPr>
              <w:t>Karnataka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IISc anchor, Quantum Research Park and national ecosystem depth.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Build around a globally credible anchor and shared facilities.</w:t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National and institutional assets are not automatically state investment.</w:t>
            </w:r>
          </w:p>
        </w:tc>
      </w:tr>
      <w:tr>
        <w:trPr>
          <w:cantSplit/>
        </w:trPr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3"/>
              </w:rPr>
              <w:t>Telangana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Long-lived photonics ecosystem vehicle with training and proposed quantum activity.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Use a permanent ecosystem organisation rather than an event series.</w:t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Training and proposed proof of concepts do not establish deployed capability.</w:t>
            </w:r>
          </w:p>
        </w:tc>
      </w:tr>
      <w:tr>
        <w:trPr>
          <w:cantSplit/>
        </w:trPr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3"/>
              </w:rPr>
              <w:t>Tamil Nadu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Deep-tech policy and translation partnerships through iTNT.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Use challenge programmes and national access before large capital.</w:t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MoUs and letters of intent remain pre-delivery evidence.</w:t>
            </w:r>
          </w:p>
        </w:tc>
      </w:tr>
      <w:tr>
        <w:trPr>
          <w:cantSplit/>
        </w:trPr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3"/>
              </w:rPr>
              <w:t>Maharashtra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IIT Bombay national sensing hub and institutional concentration.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Specialise around existing national leadership.</w:t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No consolidated state quantum mission and expenditure ledger was located.</w:t>
            </w:r>
          </w:p>
        </w:tc>
      </w:tr>
      <w:tr>
        <w:trPr>
          <w:cantSplit/>
        </w:trPr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3"/>
              </w:rPr>
              <w:t>Uttar Pradesh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Broad deep-tech and centre-of-excellence mechanisms.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Allow quantum projects into general innovation instruments.</w:t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No quantum-specific portfolio or facility was evidenced.</w:t>
            </w:r>
          </w:p>
        </w:tc>
      </w:tr>
      <w:tr>
        <w:trPr>
          <w:cantSplit/>
        </w:trPr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3"/>
              </w:rPr>
              <w:t>Kerala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Budget statement for a proposed university centre.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University capacity can seed talent and research.</w:t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Sanction, DPR, amount and delivery evidence remain incomplete.</w:t>
            </w:r>
          </w:p>
        </w:tc>
      </w:tr>
      <w:tr>
        <w:trPr>
          <w:cantSplit/>
        </w:trPr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3"/>
              </w:rPr>
              <w:t>Gujarat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STI policy, outreach and procurement signals.</w:t>
            </w:r>
          </w:p>
        </w:tc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Combine state policy instruments with national hub access and user demand.</w:t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3"/>
              </w:rPr>
              <w:t>Mission authority, awards, operational assets and access rights require verification.</w:t>
            </w:r>
          </w:p>
        </w:tc>
      </w:tr>
    </w:tbl>
    <w:p>
      <w:pPr>
        <w:spacing w:after="20"/>
      </w:pPr>
    </w:p>
    <w:p>
      <w:pPr>
        <w:spacing w:after="40"/>
      </w:pPr>
      <w:r>
        <w:rPr>
          <w:b/>
          <w:sz w:val="17"/>
        </w:rPr>
        <w:t xml:space="preserve">Andhra Pradesh AQCC sanction and award: </w:t>
      </w:r>
      <w:hyperlink r:id="rId17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Karnataka Quantum Research Park: </w:t>
      </w:r>
      <w:hyperlink r:id="rId18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Telangana Photonics Valley Corporation: </w:t>
      </w:r>
      <w:hyperlink r:id="rId19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Tamil Nadu Deep Tech Policy: </w:t>
      </w:r>
      <w:hyperlink r:id="rId20">
        <w:r>
          <w:rPr>
            <w:color w:val="0563C1"/>
            <w:u w:val="single"/>
          </w:rPr>
          <w:t>Open official source</w:t>
        </w:r>
      </w:hyperlink>
    </w:p>
    <w:p>
      <w:pPr>
        <w:pStyle w:val="Heading1"/>
      </w:pPr>
      <w:r>
        <w:t>6 International reference models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656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Jurisdiction</w:t>
            </w:r>
          </w:p>
        </w:tc>
        <w:tc>
          <w:tcPr>
            <w:tcW w:type="dxa" w:w="4608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Operating model</w:t>
            </w:r>
          </w:p>
        </w:tc>
        <w:tc>
          <w:tcPr>
            <w:tcW w:type="dxa" w:w="3744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Most useful lesson for Gujarat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United Kingdom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Office for Quantum, research hubs, NQCC, NPL, Innovate UK missions and public procurement.</w:t>
            </w:r>
          </w:p>
        </w:tc>
        <w:tc>
          <w:tcPr>
            <w:tcW w:type="dxa" w:w="37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Connect research, shared facilities, industry challenges, standards and procurement.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United States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Statutory national initiative, agency programmes, national laboratories, QED-C and independent advisory committee.</w:t>
            </w:r>
          </w:p>
        </w:tc>
        <w:tc>
          <w:tcPr>
            <w:tcW w:type="dxa" w:w="37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Separate delivery from independent review. Publish budgets and annual progress.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Canada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Three national missions implemented through agencies and specialised regional hubs.</w:t>
            </w:r>
          </w:p>
        </w:tc>
        <w:tc>
          <w:tcPr>
            <w:tcW w:type="dxa" w:w="37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Use regional specialisation and existing clusters rather than replicate every capability.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European Union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Flagship governance and cross-country projects funded through several instruments.</w:t>
            </w:r>
          </w:p>
        </w:tc>
        <w:tc>
          <w:tcPr>
            <w:tcW w:type="dxa" w:w="37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Coordinate distributed actors with a shared agenda and portfolio evidence.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Singapore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Concentrated National Quantum Office, shared platforms and quantum-safe trials.</w:t>
            </w:r>
          </w:p>
        </w:tc>
        <w:tc>
          <w:tcPr>
            <w:tcW w:type="dxa" w:w="37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A small executive office can coordinate institutions and adoption programmes.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Australia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National strategy implemented through several research, capital, trust and industry instruments.</w:t>
            </w:r>
          </w:p>
        </w:tc>
        <w:tc>
          <w:tcPr>
            <w:tcW w:type="dxa" w:w="37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Publish an implementation map even when funding comes from several programmes.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Japan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Rolling Cabinet strategies, research hubs and hybrid user programmes.</w:t>
            </w:r>
          </w:p>
        </w:tc>
        <w:tc>
          <w:tcPr>
            <w:tcW w:type="dxa" w:w="37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Refresh strategy regularly and connect users to quantum and classical systems.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South Korea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Statute, five-year plans, national committee and competitively designated regional cluster.</w:t>
            </w:r>
          </w:p>
        </w:tc>
        <w:tc>
          <w:tcPr>
            <w:tcW w:type="dxa" w:w="37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Use transparent selection criteria and central-local co-investment.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China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Long-horizon national infrastructure and concentrated strategic capacity.</w:t>
            </w:r>
          </w:p>
        </w:tc>
        <w:tc>
          <w:tcPr>
            <w:tcW w:type="dxa" w:w="37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Avoid low-level duplication. Public transparency and independent review remain essential for Gujarat.</w:t>
            </w:r>
          </w:p>
        </w:tc>
      </w:tr>
    </w:tbl>
    <w:p>
      <w:pPr>
        <w:spacing w:after="20"/>
      </w:pPr>
    </w:p>
    <w:p>
      <w:pPr>
        <w:spacing w:after="40"/>
      </w:pPr>
      <w:r>
        <w:rPr>
          <w:b/>
          <w:sz w:val="17"/>
        </w:rPr>
        <w:t xml:space="preserve">UK National Quantum Strategy: </w:t>
      </w:r>
      <w:hyperlink r:id="rId21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US National Quantum Initiative: </w:t>
      </w:r>
      <w:hyperlink r:id="rId22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EU Quantum Flagship governance: </w:t>
      </w:r>
      <w:hyperlink r:id="rId23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Canada National Quantum Strategy: </w:t>
      </w:r>
      <w:hyperlink r:id="rId24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Australia National Quantum Strategy: </w:t>
      </w:r>
      <w:hyperlink r:id="rId25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Japan Cabinet Office quantum portal: </w:t>
      </w:r>
      <w:hyperlink r:id="rId26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South Korea quantum strategy: </w:t>
      </w:r>
      <w:hyperlink r:id="rId27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China Fourteenth Five Year Plan: </w:t>
      </w:r>
      <w:hyperlink r:id="rId28">
        <w:r>
          <w:rPr>
            <w:color w:val="0563C1"/>
            <w:u w:val="single"/>
          </w:rPr>
          <w:t>Open official source</w:t>
        </w:r>
      </w:hyperlink>
    </w:p>
    <w:p>
      <w:pPr>
        <w:pStyle w:val="Heading1"/>
      </w:pPr>
      <w:r>
        <w:t>7 Gujarat policy and capability base</w:t>
      </w:r>
    </w:p>
    <w:p>
      <w:r>
        <w:t>Gujarat Science Technology and Innovation Policy 2026 to 2031 identifies quantum technologies as a focus area within a broader research framework and describes a ₹1,000 crore innovation fund, research clusters, shared laboratories and talent targets. Public evidence does not establish a quantum-specific allocation from that fund.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2088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Node</w:t>
            </w:r>
          </w:p>
        </w:tc>
        <w:tc>
          <w:tcPr>
            <w:tcW w:type="dxa" w:w="4968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Verified role</w:t>
            </w:r>
          </w:p>
        </w:tc>
        <w:tc>
          <w:tcPr>
            <w:tcW w:type="dxa" w:w="2952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Access or evidence gap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PRL Ahmedabad</w:t>
            </w:r>
          </w:p>
        </w:tc>
        <w:tc>
          <w:tcPr>
            <w:tcW w:type="dxa" w:w="49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Quantum optics, photon sources, QRNG, free-space QKD and sensing prototypes.</w:t>
            </w:r>
          </w:p>
        </w:tc>
        <w:tc>
          <w:tcPr>
            <w:tcW w:type="dxa" w:w="29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DoS ownership, current equipment, calibration, uptime and external-user terms.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SAC ISRO Ahmedabad</w:t>
            </w:r>
          </w:p>
        </w:tc>
        <w:tc>
          <w:tcPr>
            <w:tcW w:type="dxa" w:w="49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Reported free-space QKD demonstrations and NQM communication-hub participation.</w:t>
            </w:r>
          </w:p>
        </w:tc>
        <w:tc>
          <w:tcPr>
            <w:tcW w:type="dxa" w:w="29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Strategic access, present operating status, security approval and state-use rights.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IIT Gandhinagar</w:t>
            </w:r>
          </w:p>
        </w:tc>
        <w:tc>
          <w:tcPr>
            <w:tcW w:type="dxa" w:w="49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NQM sensing and metrology participant with relevant faculty and courses.</w:t>
            </w:r>
          </w:p>
        </w:tc>
        <w:tc>
          <w:tcPr>
            <w:tcW w:type="dxa" w:w="29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Technical group, sanction, equipment and Gujarat work package.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Gati Shakti Vishwavidyalaya</w:t>
            </w:r>
          </w:p>
        </w:tc>
        <w:tc>
          <w:tcPr>
            <w:tcW w:type="dxa" w:w="49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NQM-sponsored optimisation research for rail and multimodal logistics.</w:t>
            </w:r>
          </w:p>
        </w:tc>
        <w:tc>
          <w:tcPr>
            <w:tcW w:type="dxa" w:w="29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Results, datasets, strong classical baselines and user acceptance.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Ahmedabad University and DAU</w:t>
            </w:r>
          </w:p>
        </w:tc>
        <w:tc>
          <w:tcPr>
            <w:tcW w:type="dxa" w:w="49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Quantum algorithms, hybrid methods, theoretical research and talent.</w:t>
            </w:r>
          </w:p>
        </w:tc>
        <w:tc>
          <w:tcPr>
            <w:tcW w:type="dxa" w:w="29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Reproducible software, cloud access, industry problems and IP.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SVNIT PDEU Nirma Gujarat University</w:t>
            </w:r>
          </w:p>
        </w:tc>
        <w:tc>
          <w:tcPr>
            <w:tcW w:type="dxa" w:w="49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Teaching and foundational research exposure at varying levels.</w:t>
            </w:r>
          </w:p>
        </w:tc>
        <w:tc>
          <w:tcPr>
            <w:tcW w:type="dxa" w:w="29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Instructor capacity, experimental laboratories, usage and project outcomes.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GIL GUJCOST Science City</w:t>
            </w:r>
          </w:p>
        </w:tc>
        <w:tc>
          <w:tcPr>
            <w:tcW w:type="dxa" w:w="49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Procurement, programme coordination, outreach and education.</w:t>
            </w:r>
          </w:p>
        </w:tc>
        <w:tc>
          <w:tcPr>
            <w:tcW w:type="dxa" w:w="29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Tender awards, installed assets, acceptance, O and M and learning outcomes.</w:t>
            </w:r>
          </w:p>
        </w:tc>
      </w:tr>
      <w:tr>
        <w:trPr>
          <w:cantSplit/>
        </w:trPr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ISR Gandhinagar</w:t>
            </w:r>
          </w:p>
        </w:tc>
        <w:tc>
          <w:tcPr>
            <w:tcW w:type="dxa" w:w="49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Field seismology, geophysics and monitoring capability.</w:t>
            </w:r>
          </w:p>
        </w:tc>
        <w:tc>
          <w:tcPr>
            <w:tcW w:type="dxa" w:w="29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Candidate sensor test partner. No quantum sensor lab verified.</w:t>
            </w:r>
          </w:p>
        </w:tc>
      </w:tr>
    </w:tbl>
    <w:p>
      <w:pPr>
        <w:spacing w:after="20"/>
      </w:pPr>
    </w:p>
    <w:p>
      <w:pPr>
        <w:spacing w:after="40"/>
      </w:pPr>
      <w:r>
        <w:rPr>
          <w:b/>
          <w:sz w:val="17"/>
        </w:rPr>
        <w:t xml:space="preserve">Gujarat STI Policy: </w:t>
      </w:r>
      <w:hyperlink r:id="rId29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GIL tenders: </w:t>
      </w:r>
      <w:hyperlink r:id="rId30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PRL quantum programme: </w:t>
      </w:r>
      <w:hyperlink r:id="rId31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SAC QKD report: </w:t>
      </w:r>
      <w:hyperlink r:id="rId32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Gati Shakti Vishwavidyalaya NQM project: </w:t>
      </w:r>
      <w:hyperlink r:id="rId33">
        <w:r>
          <w:rPr>
            <w:color w:val="0563C1"/>
            <w:u w:val="single"/>
          </w:rPr>
          <w:t>Open official source</w:t>
        </w:r>
      </w:hyperlink>
    </w:p>
    <w:p>
      <w:pPr>
        <w:pStyle w:val="Heading1"/>
      </w:pPr>
      <w:r>
        <w:t>8 Demand portfolio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800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Priority</w:t>
            </w:r>
          </w:p>
        </w:tc>
        <w:tc>
          <w:tcPr>
            <w:tcW w:type="dxa" w:w="5544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Problem and first deliverable</w:t>
            </w:r>
          </w:p>
        </w:tc>
        <w:tc>
          <w:tcPr>
            <w:tcW w:type="dxa" w:w="2664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Decision gate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 GIFT post quantum cryptography cohort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Cryptographic inventories, long-lived data classification, migration designs and controlled implementation tests.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Implementation correctness, rollback, performance, audit and procurement requirements.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2 State crypto agility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Map selected GSDC GSWAN and departmental systems. Add migration architecture and vendor clauses.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No product procurement before dependencies, ownership and standards profile are complete.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 Assurance and interoperability environment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Vendor-neutral test environment for PQC libraries, key systems, QKD interfaces and security evaluation.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Do not claim certification without accreditation and statutory authority.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4 ISR sensing field challenge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Pre-registered blinded comparison of candidate quantum sensors with calibrated classical instruments.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Repeatability, environmental performance, reliability and lifecycle cost.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5 GSV logistics benchmark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Representative problem set, strong exact and heuristic baselines, reproducible code and user metrics.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Field pilot only after meaningful and repeatable improvement.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6 Hub-linked component and materials projects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Submit scoped work to the four hubs using Gujarat semiconductor, photonics and electronics capacity.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4"/>
              </w:rPr>
              <w:t>Local facility only after evidence of unmet demand, access constraints and five-year O and M.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4"/>
              </w:rPr>
              <w:t>7 Talent network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Faculty cohorts, cloud access, shared curriculum, internships and usage-based teaching labs.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Completed experiments, instructor competence, projects and placements.</w:t>
            </w:r>
          </w:p>
        </w:tc>
      </w:tr>
    </w:tbl>
    <w:p>
      <w:pPr>
        <w:spacing w:after="20"/>
      </w:pPr>
    </w:p>
    <w:p>
      <w:pPr>
        <w:pStyle w:val="Heading1"/>
      </w:pPr>
      <w:r>
        <w:t>9 Recommended Gujarat mission architecture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997"/>
        <w:gridCol w:w="4997"/>
      </w:tblGrid>
      <w:tr>
        <w:trPr>
          <w:tblHeader w:val="true"/>
          <w:cantSplit/>
        </w:trPr>
        <w:tc>
          <w:tcPr>
            <w:tcW w:type="dxa" w:w="2376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Layer</w:t>
            </w:r>
          </w:p>
        </w:tc>
        <w:tc>
          <w:tcPr>
            <w:tcW w:type="dxa" w:w="7416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Responsibility</w:t>
            </w:r>
          </w:p>
        </w:tc>
      </w:tr>
      <w:tr>
        <w:trPr>
          <w:cantSplit/>
        </w:trPr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State mission council</w:t>
            </w:r>
          </w:p>
        </w:tc>
        <w:tc>
          <w:tcPr>
            <w:tcW w:type="dxa" w:w="74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Approves strategy, portfolio budget, risk appetite and annual results. Includes science, industry, user departments and independent members.</w:t>
            </w:r>
          </w:p>
        </w:tc>
      </w:tr>
      <w:tr>
        <w:trPr>
          <w:cantSplit/>
        </w:trPr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Mission office</w:t>
            </w:r>
          </w:p>
        </w:tc>
        <w:tc>
          <w:tcPr>
            <w:tcW w:type="dxa" w:w="74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6"/>
              </w:rPr>
              <w:t>Maintains the evidence room, coordinates hubs, manages calls, contracts, data access and quarterly reporting.</w:t>
            </w:r>
          </w:p>
        </w:tc>
      </w:tr>
      <w:tr>
        <w:trPr>
          <w:cantSplit/>
        </w:trPr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Independent technical council</w:t>
            </w:r>
          </w:p>
        </w:tc>
        <w:tc>
          <w:tcPr>
            <w:tcW w:type="dxa" w:w="74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Reviews scientific merit, baselines, safety, security and stop or scale decisions. Members disclose delivery and vendor conflicts.</w:t>
            </w:r>
          </w:p>
        </w:tc>
      </w:tr>
      <w:tr>
        <w:trPr>
          <w:cantSplit/>
        </w:trPr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Four domain networks</w:t>
            </w:r>
          </w:p>
        </w:tc>
        <w:tc>
          <w:tcPr>
            <w:tcW w:type="dxa" w:w="74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6"/>
              </w:rPr>
              <w:t>Computing and software, communication and cryptography, sensing and metrology, materials and devices. They connect Gujarat teams to national hubs.</w:t>
            </w:r>
          </w:p>
        </w:tc>
      </w:tr>
      <w:tr>
        <w:trPr>
          <w:cantSplit/>
        </w:trPr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User council</w:t>
            </w:r>
          </w:p>
        </w:tc>
        <w:tc>
          <w:tcPr>
            <w:tcW w:type="dxa" w:w="74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GIFT, digital government, utilities, ports, transport, water, health, space and semiconductor problem owners define demand and acceptance.</w:t>
            </w:r>
          </w:p>
        </w:tc>
      </w:tr>
      <w:tr>
        <w:trPr>
          <w:cantSplit/>
        </w:trPr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6"/>
              </w:rPr>
              <w:t>Shared services</w:t>
            </w:r>
          </w:p>
        </w:tc>
        <w:tc>
          <w:tcPr>
            <w:tcW w:type="dxa" w:w="74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6"/>
              </w:rPr>
              <w:t>Legal, procurement, IP, standards, cybersecurity, data governance, metrology and independent testing.</w:t>
            </w:r>
          </w:p>
        </w:tc>
      </w:tr>
    </w:tbl>
    <w:p>
      <w:pPr>
        <w:spacing w:after="20"/>
      </w:pPr>
    </w:p>
    <w:p>
      <w:r>
        <w:t>The mission office should remain small. Institutions and companies execute projects. National hubs supply specialist infrastructure, review and funding routes. User agencies own operational problems and acceptance.</w:t>
      </w:r>
    </w:p>
    <w:p>
      <w:pPr>
        <w:pStyle w:val="Heading1"/>
      </w:pPr>
      <w:r>
        <w:t>10 Phased roadmap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728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Period</w:t>
            </w:r>
          </w:p>
        </w:tc>
        <w:tc>
          <w:tcPr>
            <w:tcW w:type="dxa" w:w="5616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Core work</w:t>
            </w:r>
          </w:p>
        </w:tc>
        <w:tc>
          <w:tcPr>
            <w:tcW w:type="dxa" w:w="2520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Decision output</w:t>
            </w:r>
          </w:p>
        </w:tc>
      </w:tr>
      <w:tr>
        <w:trPr>
          <w:cantSplit/>
        </w:trPr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First 90 days</w:t>
            </w:r>
          </w:p>
        </w:tc>
        <w:tc>
          <w:tcPr>
            <w:tcW w:type="dxa" w:w="56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Create authority and data room. Verify institutions and facilities. Obtain signed problem statements. Meet DST and all four hubs.</w:t>
            </w:r>
          </w:p>
        </w:tc>
        <w:tc>
          <w:tcPr>
            <w:tcW w:type="dxa" w:w="25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Approved evidence ledger, access term sheets and shortlist of three to five pilots.</w:t>
            </w:r>
          </w:p>
        </w:tc>
      </w:tr>
      <w:tr>
        <w:trPr>
          <w:cantSplit/>
        </w:trPr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Months 4 to 12</w:t>
            </w:r>
          </w:p>
        </w:tc>
        <w:tc>
          <w:tcPr>
            <w:tcW w:type="dxa" w:w="56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Launch PQC work, sensing challenge, logistics benchmark, talent cohort and hub-linked projects.</w:t>
            </w:r>
          </w:p>
        </w:tc>
        <w:tc>
          <w:tcPr>
            <w:tcW w:type="dxa" w:w="25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Independent pilot results and a verified national-access plan.</w:t>
            </w:r>
          </w:p>
        </w:tc>
      </w:tr>
      <w:tr>
        <w:trPr>
          <w:cantSplit/>
        </w:trPr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Year 2</w:t>
            </w:r>
          </w:p>
        </w:tc>
        <w:tc>
          <w:tcPr>
            <w:tcW w:type="dxa" w:w="56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Scale successful projects. Establish shared assurance, training and component programmes. Use procurement only where acceptance is defined.</w:t>
            </w:r>
          </w:p>
        </w:tc>
        <w:tc>
          <w:tcPr>
            <w:tcW w:type="dxa" w:w="25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Portfolio reallocation based on results and operating demand.</w:t>
            </w:r>
          </w:p>
        </w:tc>
      </w:tr>
      <w:tr>
        <w:trPr>
          <w:cantSplit/>
        </w:trPr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Years 3 to 5</w:t>
            </w:r>
          </w:p>
        </w:tc>
        <w:tc>
          <w:tcPr>
            <w:tcW w:type="dxa" w:w="56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Build local infrastructure only where sustained demand and national access constraints justify it. Expand suppliers and recurring programmes.</w:t>
            </w:r>
          </w:p>
        </w:tc>
        <w:tc>
          <w:tcPr>
            <w:tcW w:type="dxa" w:w="25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Audited outcomes, facility utilization and renewal or termination decisions.</w:t>
            </w:r>
          </w:p>
        </w:tc>
      </w:tr>
    </w:tbl>
    <w:p>
      <w:pPr>
        <w:spacing w:after="20"/>
      </w:pPr>
    </w:p>
    <w:p>
      <w:pPr>
        <w:pStyle w:val="Heading1"/>
      </w:pPr>
      <w:r>
        <w:t>11 Decision gates and measures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31"/>
        <w:gridCol w:w="3331"/>
        <w:gridCol w:w="3331"/>
      </w:tblGrid>
      <w:tr>
        <w:trPr>
          <w:tblHeader w:val="true"/>
          <w:cantSplit/>
        </w:trPr>
        <w:tc>
          <w:tcPr>
            <w:tcW w:type="dxa" w:w="1584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Gate</w:t>
            </w:r>
          </w:p>
        </w:tc>
        <w:tc>
          <w:tcPr>
            <w:tcW w:type="dxa" w:w="5256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Required evidence</w:t>
            </w:r>
          </w:p>
        </w:tc>
        <w:tc>
          <w:tcPr>
            <w:tcW w:type="dxa" w:w="3024"/>
            <w:shd w:fill="20386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Selected measures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Authority</w:t>
            </w:r>
          </w:p>
        </w:tc>
        <w:tc>
          <w:tcPr>
            <w:tcW w:type="dxa" w:w="52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Government order, accountable owner, budget and signatory.</w:t>
            </w:r>
          </w:p>
        </w:tc>
        <w:tc>
          <w:tcPr>
            <w:tcW w:type="dxa" w:w="30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Approvals, funds sanctioned, released, contracted and expended separately.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Capability</w:t>
            </w:r>
          </w:p>
        </w:tc>
        <w:tc>
          <w:tcPr>
            <w:tcW w:type="dxa" w:w="52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Inspected people, equipment, calibration, uptime and access.</w:t>
            </w:r>
          </w:p>
        </w:tc>
        <w:tc>
          <w:tcPr>
            <w:tcW w:type="dxa" w:w="30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Active researchers, operational assets, booked hours, utilization and external users.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Demand</w:t>
            </w:r>
          </w:p>
        </w:tc>
        <w:tc>
          <w:tcPr>
            <w:tcW w:type="dxa" w:w="52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Signed problem owner, baseline, data decision and procurement route.</w:t>
            </w:r>
          </w:p>
        </w:tc>
        <w:tc>
          <w:tcPr>
            <w:tcW w:type="dxa" w:w="30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Problem statements admitted, rejected and converted to tests.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Access</w:t>
            </w:r>
          </w:p>
        </w:tc>
        <w:tc>
          <w:tcPr>
            <w:tcW w:type="dxa" w:w="52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Written hub and facility terms for service, cost, IP and security.</w:t>
            </w:r>
          </w:p>
        </w:tc>
        <w:tc>
          <w:tcPr>
            <w:tcW w:type="dxa" w:w="30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Applications, agreements, access hours, queue and total service cost.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Pilot</w:t>
            </w:r>
          </w:p>
        </w:tc>
        <w:tc>
          <w:tcPr>
            <w:tcW w:type="dxa" w:w="52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Pre-registration, strong comparator, independent review and stop condition.</w:t>
            </w:r>
          </w:p>
        </w:tc>
        <w:tc>
          <w:tcPr>
            <w:tcW w:type="dxa" w:w="30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Milestones met, reproducibility, reliability and acceptance.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  <w:jc w:val="center"/>
            </w:pPr>
            <w:r>
              <w:rPr>
                <w:sz w:val="15"/>
              </w:rPr>
              <w:t>Capital</w:t>
            </w:r>
          </w:p>
        </w:tc>
        <w:tc>
          <w:tcPr>
            <w:tcW w:type="dxa" w:w="52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Persistent unmet demand, capacity model, staff, lifecycle cost and exit plan.</w:t>
            </w:r>
          </w:p>
        </w:tc>
        <w:tc>
          <w:tcPr>
            <w:tcW w:type="dxa" w:w="30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1F5F9"/>
          </w:tcPr>
          <w:p>
            <w:pPr>
              <w:spacing w:after="20" w:line="240" w:lineRule="auto"/>
            </w:pPr>
            <w:r>
              <w:rPr>
                <w:sz w:val="15"/>
              </w:rPr>
              <w:t>Utilization, uptime, maintenance coverage, trained operators and user revenue or service demand.</w:t>
            </w:r>
          </w:p>
        </w:tc>
      </w:tr>
    </w:tbl>
    <w:p>
      <w:pPr>
        <w:spacing w:after="20"/>
      </w:pPr>
    </w:p>
    <w:p>
      <w:pPr>
        <w:pStyle w:val="Heading1"/>
      </w:pPr>
      <w:r>
        <w:t>12 Linked source directory</w:t>
      </w:r>
    </w:p>
    <w:p>
      <w:r>
        <w:t>The evidence workbook contains the record-level source register and last-verified dates. The links below are the core planning sources.</w:t>
      </w:r>
    </w:p>
    <w:p>
      <w:pPr>
        <w:spacing w:after="40"/>
      </w:pPr>
      <w:r>
        <w:rPr>
          <w:b/>
          <w:sz w:val="17"/>
        </w:rPr>
        <w:t xml:space="preserve">DST National Quantum Mission: </w:t>
      </w:r>
      <w:hyperlink r:id="rId9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DST thematic hubs and institutions: </w:t>
      </w:r>
      <w:hyperlink r:id="rId10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NQM startup guidelines: </w:t>
      </w:r>
      <w:hyperlink r:id="rId12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Gujarat STI Policy 2026 to 2031: </w:t>
      </w:r>
      <w:hyperlink r:id="rId29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GIL tenders: </w:t>
      </w:r>
      <w:hyperlink r:id="rId30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FQCI: </w:t>
      </w:r>
      <w:hyperlink r:id="rId34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Samgnya: </w:t>
      </w:r>
      <w:hyperlink r:id="rId35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Qmet Tech: </w:t>
      </w:r>
      <w:hyperlink r:id="rId36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QMD Foundation: </w:t>
      </w:r>
      <w:hyperlink r:id="rId37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Institute of Seismological Research: </w:t>
      </w:r>
      <w:hyperlink r:id="rId38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IFSCA: </w:t>
      </w:r>
      <w:hyperlink r:id="rId39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Gujarat SpaceTech Policy: </w:t>
      </w:r>
      <w:hyperlink r:id="rId40">
        <w:r>
          <w:rPr>
            <w:color w:val="0563C1"/>
            <w:u w:val="single"/>
          </w:rPr>
          <w:t>Open official source</w:t>
        </w:r>
      </w:hyperlink>
    </w:p>
    <w:p>
      <w:pPr>
        <w:spacing w:after="40"/>
      </w:pPr>
      <w:r>
        <w:rPr>
          <w:b/>
          <w:sz w:val="17"/>
        </w:rPr>
        <w:t xml:space="preserve">Gujarat Semiconductor Policy: </w:t>
      </w:r>
      <w:hyperlink r:id="rId41">
        <w:r>
          <w:rPr>
            <w:color w:val="0563C1"/>
            <w:u w:val="single"/>
          </w:rPr>
          <w:t>Open official source</w:t>
        </w:r>
      </w:hyperlink>
    </w:p>
    <w:p>
      <w:r>
        <w:rPr>
          <w:b/>
        </w:rPr>
        <w:t>Evidence boundary</w:t>
      </w:r>
      <w:r/>
    </w:p>
    <w:p>
      <w:r>
        <w:t>This handbook remains a planning reference. Public sources establish policy, programme and capability signals. Final mission design requires government files, signed institutional responses, facility inspection, user commitments and written hub access terms.</w:t>
      </w:r>
    </w:p>
    <w:sectPr w:rsidR="00FC693F" w:rsidRPr="0006063C" w:rsidSect="00034616">
      <w:footerReference w:type="default" r:id="rId42"/>
      <w:pgSz w:w="12240" w:h="15840"/>
      <w:pgMar w:top="1008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Gujarat Quantum Mission Master Planning Handbook  |  Evidence checked 1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st.gov.in/node/7223" TargetMode="External"/><Relationship Id="rId10" Type="http://schemas.openxmlformats.org/officeDocument/2006/relationships/hyperlink" Target="https://dst.gov.in/node/7834" TargetMode="External"/><Relationship Id="rId11" Type="http://schemas.openxmlformats.org/officeDocument/2006/relationships/hyperlink" Target="https://www.pib.gov.in/newsite/erelcontent.aspx?lang=2&amp;reg=48&amp;relid=243079" TargetMode="External"/><Relationship Id="rId12" Type="http://schemas.openxmlformats.org/officeDocument/2006/relationships/hyperlink" Target="https://dst.gov.in/sites/default/files/Guidelines%20to%20support%20start-ups.pdf" TargetMode="External"/><Relationship Id="rId13" Type="http://schemas.openxmlformats.org/officeDocument/2006/relationships/hyperlink" Target="https://qcinnovation.co.in/programs/" TargetMode="External"/><Relationship Id="rId14" Type="http://schemas.openxmlformats.org/officeDocument/2006/relationships/hyperlink" Target="https://www.samgnya.in/startups" TargetMode="External"/><Relationship Id="rId15" Type="http://schemas.openxmlformats.org/officeDocument/2006/relationships/hyperlink" Target="https://qmettech.com/portfolio/nextsense-call-for-proposal/" TargetMode="External"/><Relationship Id="rId16" Type="http://schemas.openxmlformats.org/officeDocument/2006/relationships/hyperlink" Target="https://qmdhub.co.in/startup-page/" TargetMode="External"/><Relationship Id="rId17" Type="http://schemas.openxmlformats.org/officeDocument/2006/relationships/hyperlink" Target="https://crda.ap.gov.in/APCRDADOCS/GOSACTSRULES/Capital%20City/01~17232026MAUD_RT21_E.pdf" TargetMode="External"/><Relationship Id="rId18" Type="http://schemas.openxmlformats.org/officeDocument/2006/relationships/hyperlink" Target="https://iqti.iisc.ac.in/wp-content/uploads/2023/12/QuRP-brochure.pdf" TargetMode="External"/><Relationship Id="rId19" Type="http://schemas.openxmlformats.org/officeDocument/2006/relationships/hyperlink" Target="https://www.photonicsvalley.telangana.gov.in/About.html" TargetMode="External"/><Relationship Id="rId20" Type="http://schemas.openxmlformats.org/officeDocument/2006/relationships/hyperlink" Target="https://itnthub.tn.gov.in/assets/deep-tech-policy-book.pdf" TargetMode="External"/><Relationship Id="rId21" Type="http://schemas.openxmlformats.org/officeDocument/2006/relationships/hyperlink" Target="https://www.gov.uk/government/publications/national-quantum-strategy/national-quantum-strategy-accessible-webpage" TargetMode="External"/><Relationship Id="rId22" Type="http://schemas.openxmlformats.org/officeDocument/2006/relationships/hyperlink" Target="https://www.quantum.gov/national-quantum-initiative/" TargetMode="External"/><Relationship Id="rId23" Type="http://schemas.openxmlformats.org/officeDocument/2006/relationships/hyperlink" Target="https://qt.eu/structure-governance/" TargetMode="External"/><Relationship Id="rId24" Type="http://schemas.openxmlformats.org/officeDocument/2006/relationships/hyperlink" Target="https://ised-isde.canada.ca/site/national-quantum-strategy/en/canadas-national-quantum-strategy" TargetMode="External"/><Relationship Id="rId25" Type="http://schemas.openxmlformats.org/officeDocument/2006/relationships/hyperlink" Target="https://www.industry.gov.au/publications/national-quantum-strategy" TargetMode="External"/><Relationship Id="rId26" Type="http://schemas.openxmlformats.org/officeDocument/2006/relationships/hyperlink" Target="https://www8.cao.go.jp/cstp/english/quantum/index.html" TargetMode="External"/><Relationship Id="rId27" Type="http://schemas.openxmlformats.org/officeDocument/2006/relationships/hyperlink" Target="https://www.msit.go.kr/eng/bbs/view.do?bbsSeqNo=42&amp;mId=4&amp;mPid=2&amp;nttSeqNo=840&amp;pageIndex=&amp;sCode=eng&amp;searchOpt=ALL&amp;searchTxt=" TargetMode="External"/><Relationship Id="rId28" Type="http://schemas.openxmlformats.org/officeDocument/2006/relationships/hyperlink" Target="https://en.ndrc.gov.cn/policies/202204/P020220426646044910072.pdf" TargetMode="External"/><Relationship Id="rId29" Type="http://schemas.openxmlformats.org/officeDocument/2006/relationships/hyperlink" Target="https://dst.gujarat.gov.in/dst/Home/stip" TargetMode="External"/><Relationship Id="rId30" Type="http://schemas.openxmlformats.org/officeDocument/2006/relationships/hyperlink" Target="https://gil.gujarat.gov.in/Tenders" TargetMode="External"/><Relationship Id="rId31" Type="http://schemas.openxmlformats.org/officeDocument/2006/relationships/hyperlink" Target="https://www.prl.res.in/~rpsingh/QSTProgram/" TargetMode="External"/><Relationship Id="rId32" Type="http://schemas.openxmlformats.org/officeDocument/2006/relationships/hyperlink" Target="https://new1.isro.gov.in/ISRO_EN/Quantum%20Key%20Distribution%20%28QKD%29.html" TargetMode="External"/><Relationship Id="rId33" Type="http://schemas.openxmlformats.org/officeDocument/2006/relationships/hyperlink" Target="https://gsv.ac.in/careers-details/91/junior-research-fellow-jrf-national-quantum-mission-nqm-sponsored-project/91" TargetMode="External"/><Relationship Id="rId34" Type="http://schemas.openxmlformats.org/officeDocument/2006/relationships/hyperlink" Target="https://qcinnovation.co.in/" TargetMode="External"/><Relationship Id="rId35" Type="http://schemas.openxmlformats.org/officeDocument/2006/relationships/hyperlink" Target="https://www.samgnya.in/" TargetMode="External"/><Relationship Id="rId36" Type="http://schemas.openxmlformats.org/officeDocument/2006/relationships/hyperlink" Target="https://qmettech.com/" TargetMode="External"/><Relationship Id="rId37" Type="http://schemas.openxmlformats.org/officeDocument/2006/relationships/hyperlink" Target="https://qmdhub.co.in/" TargetMode="External"/><Relationship Id="rId38" Type="http://schemas.openxmlformats.org/officeDocument/2006/relationships/hyperlink" Target="https://isr.gujarat.gov.in/about-isr" TargetMode="External"/><Relationship Id="rId39" Type="http://schemas.openxmlformats.org/officeDocument/2006/relationships/hyperlink" Target="https://ifsca.gov.in/" TargetMode="External"/><Relationship Id="rId40" Type="http://schemas.openxmlformats.org/officeDocument/2006/relationships/hyperlink" Target="https://dst.gujarat.gov.in/Home/GujaratSpaceTechPolicy" TargetMode="External"/><Relationship Id="rId41" Type="http://schemas.openxmlformats.org/officeDocument/2006/relationships/hyperlink" Target="https://dst.gujarat.gov.in/Home/GujaratSemiconductorPolicy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Gujarat Quantum Mission Master Planning Handbook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